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DOCUMENTO</w:t>
      </w:r>
    </w:p>
    <w:p>
      <w:pPr>
        <w:pStyle w:val="Title"/>
        <w:spacing w:after="20"/>
      </w:pPr>
      <w:r>
        <w:rPr>
          <w:rFonts w:ascii="Raleway" w:cs="Raleway" w:eastAsia="Raleway" w:hAnsi="Raleway"/>
          <w:b/>
          <w:bCs/>
          <w:color w:val="162B39"/>
          <w:sz w:val="44"/>
          <w:szCs w:val="44"/>
        </w:rPr>
        <w:t xml:space="preserve">User Personas para UX Research</w:t>
      </w:r>
    </w:p>
    <w:p>
      <w:pPr>
        <w:pBdr>
          <w:bottom w:val="single" w:color="1D3648" w:sz="16" w:space="8"/>
        </w:pBdr>
        <w:spacing w:after="200"/>
      </w:pPr>
      <w:r>
        <w:rPr>
          <w:rFonts w:ascii="Inter" w:cs="Inter" w:eastAsia="Inter" w:hAnsi="Inter"/>
          <w:color w:val="5B6975"/>
          <w:sz w:val="21"/>
          <w:szCs w:val="21"/>
        </w:rPr>
        <w:t xml:space="preserve">User Personas</w:t>
      </w:r>
    </w:p>
    <w:p>
      <w:pPr>
        <w:spacing w:after="160" w:line="360"/>
      </w:pPr>
      <w:r>
        <w:rPr>
          <w:rFonts w:ascii="Inter" w:cs="Inter" w:eastAsia="Inter" w:hAnsi="Inter"/>
          <w:b/>
          <w:bCs/>
          <w:color w:val="162B39"/>
          <w:sz w:val="22"/>
          <w:szCs w:val="22"/>
        </w:rPr>
        <w:t xml:space="preserve">Caso de referencia inventado.</w:t>
      </w:r>
      <w:r>
        <w:rPr>
          <w:rFonts w:ascii="Inter" w:cs="Inter" w:eastAsia="Inter" w:hAnsi="Inter"/>
          <w:color w:val="4D4D4D"/>
          <w:sz w:val="22"/>
          <w:szCs w:val="22"/>
        </w:rPr>
        <w:t xml:space="preserve"> Ni el banco, ni el estudio, ni las personas existen. Los números de evidencia están escritos para que se vea cómo se cita, no porque alguien los haya medido. Si vas a reutilizar este archivo, reemplaza todo: un ejemplo que se queda adentro sin avisar es el defecto que esta misma plantilla pide marcar.</w:t>
      </w:r>
    </w:p>
    <w:p>
      <w:pPr>
        <w:spacing w:after="160" w:line="360"/>
      </w:pPr>
      <w:r>
        <w:rPr>
          <w:rFonts w:ascii="Inter" w:cs="Inter" w:eastAsia="Inter" w:hAnsi="Inter"/>
          <w:b/>
          <w:bCs/>
          <w:color w:val="162B39"/>
          <w:sz w:val="22"/>
          <w:szCs w:val="22"/>
        </w:rPr>
        <w:t xml:space="preserve">Cómo leerlo.</w:t>
      </w:r>
      <w:r>
        <w:rPr>
          <w:rFonts w:ascii="Inter" w:cs="Inter" w:eastAsia="Inter" w:hAnsi="Inter"/>
          <w:color w:val="4D4D4D"/>
          <w:sz w:val="22"/>
          <w:szCs w:val="22"/>
        </w:rPr>
        <w:t xml:space="preserve"> Fíjate en lo que </w:t>
      </w:r>
      <w:r>
        <w:rPr>
          <w:rFonts w:ascii="Inter" w:cs="Inter" w:eastAsia="Inter" w:hAnsi="Inter"/>
          <w:i/>
          <w:iCs/>
          <w:color w:val="4D4D4D"/>
          <w:sz w:val="22"/>
          <w:szCs w:val="22"/>
        </w:rPr>
        <w:t xml:space="preserve">no</w:t>
      </w:r>
      <w:r>
        <w:rPr>
          <w:rFonts w:ascii="Inter" w:cs="Inter" w:eastAsia="Inter" w:hAnsi="Inter"/>
          <w:color w:val="4D4D4D"/>
          <w:sz w:val="22"/>
          <w:szCs w:val="22"/>
        </w:rPr>
        <w:t xml:space="preserve"> está. No hay comuna, no hay estado civil y no hay marca de teléfono, porque en este estudio ninguno de los tres cambió el comportamiento. El único dato demográfico que sobrevivió es la edad de Marisol, y sobrevivió porque explica de dónde viene su manera de verificar.</w:t>
      </w:r>
    </w:p>
    <w:p>
      <w:pPr>
        <w:spacing w:after="160" w:line="360"/>
      </w:pPr>
      <w:r>
        <w:rPr>
          <w:rFonts w:ascii="Inter" w:cs="Inter" w:eastAsia="Inter" w:hAnsi="Inter"/>
          <w:b/>
          <w:bCs/>
          <w:color w:val="162B39"/>
          <w:sz w:val="22"/>
          <w:szCs w:val="22"/>
        </w:rPr>
        <w:t xml:space="preserve">Estudio:</w:t>
      </w:r>
      <w:r>
        <w:rPr>
          <w:rFonts w:ascii="Inter" w:cs="Inter" w:eastAsia="Inter" w:hAnsi="Inter"/>
          <w:color w:val="4D4D4D"/>
          <w:sz w:val="22"/>
          <w:szCs w:val="22"/>
        </w:rPr>
        <w:t xml:space="preserve"> Rediseño del flujo de transferencias · app móvil de banca personas
</w:t>
      </w:r>
      <w:r>
        <w:rPr>
          <w:rFonts w:ascii="Inter" w:cs="Inter" w:eastAsia="Inter" w:hAnsi="Inter"/>
          <w:b/>
          <w:bCs/>
          <w:color w:val="162B39"/>
          <w:sz w:val="22"/>
          <w:szCs w:val="22"/>
        </w:rPr>
        <w:t xml:space="preserve">Fuentes:</w:t>
      </w:r>
      <w:r>
        <w:rPr>
          <w:rFonts w:ascii="Inter" w:cs="Inter" w:eastAsia="Inter" w:hAnsi="Inter"/>
          <w:color w:val="4D4D4D"/>
          <w:sz w:val="22"/>
          <w:szCs w:val="22"/>
        </w:rPr>
        <w:t xml:space="preserve"> 14 entrevistas en profundidad, encuesta a 380 clientes con cuenta activa, analytics de marzo a agosto
</w:t>
      </w:r>
      <w:r>
        <w:rPr>
          <w:rFonts w:ascii="Inter" w:cs="Inter" w:eastAsia="Inter" w:hAnsi="Inter"/>
          <w:b/>
          <w:bCs/>
          <w:color w:val="162B39"/>
          <w:sz w:val="22"/>
          <w:szCs w:val="22"/>
        </w:rPr>
        <w:t xml:space="preserve">Fecha:</w:t>
      </w:r>
      <w:r>
        <w:rPr>
          <w:rFonts w:ascii="Inter" w:cs="Inter" w:eastAsia="Inter" w:hAnsi="Inter"/>
          <w:color w:val="4D4D4D"/>
          <w:sz w:val="22"/>
          <w:szCs w:val="22"/>
        </w:rPr>
        <w:t xml:space="preserve"> 12/09/2026 · </w:t>
      </w:r>
      <w:r>
        <w:rPr>
          <w:rFonts w:ascii="Inter" w:cs="Inter" w:eastAsia="Inter" w:hAnsi="Inter"/>
          <w:b/>
          <w:bCs/>
          <w:color w:val="162B39"/>
          <w:sz w:val="22"/>
          <w:szCs w:val="22"/>
        </w:rPr>
        <w:t xml:space="preserve">Próxima revisión:</w:t>
      </w:r>
      <w:r>
        <w:rPr>
          <w:rFonts w:ascii="Inter" w:cs="Inter" w:eastAsia="Inter" w:hAnsi="Inter"/>
          <w:color w:val="4D4D4D"/>
          <w:sz w:val="22"/>
          <w:szCs w:val="22"/>
        </w:rPr>
        <w:t xml:space="preserve"> 12/03/2027</w:t>
      </w:r>
    </w:p>
    <w:p>
      <w:pPr>
        <w:pStyle w:val="Heading3"/>
        <w:keepNext/>
        <w:spacing w:after="100" w:before="240"/>
      </w:pPr>
      <w:r>
        <w:rPr>
          <w:rFonts w:ascii="Raleway" w:cs="Raleway" w:eastAsia="Raleway" w:hAnsi="Raleway"/>
          <w:b/>
          <w:bCs/>
          <w:color w:val="162B39"/>
          <w:sz w:val="24"/>
          <w:szCs w:val="24"/>
        </w:rPr>
        <w:t xml:space="preserve">Cómo se diferencian de la segmentación que ya existe</w:t>
      </w:r>
    </w:p>
    <w:p>
      <w:pPr>
        <w:spacing w:after="160" w:line="360"/>
      </w:pPr>
      <w:r>
        <w:rPr>
          <w:rFonts w:ascii="Inter" w:cs="Inter" w:eastAsia="Inter" w:hAnsi="Inter"/>
          <w:color w:val="4D4D4D"/>
          <w:sz w:val="22"/>
          <w:szCs w:val="22"/>
        </w:rPr>
        <w:t xml:space="preserve">La segmentación comercial agrupa por renta y por cantidad de productos contratados: dice cuánto vale un cliente. Estas fichas agrupan por cómo se comporta frente al riesgo de equivocarse al mover plata, que es lo que decide el diseño del flujo. Un cliente de renta alta y uno de renta media pueden caer en la misma ficha. No compiten: la primera dice a quién conviene vender, la segunda dice cómo tiene que funcionar.</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Marisol Fuentes · primaria</w:t>
      </w:r>
    </w:p>
    <w:p>
      <w:pPr>
        <w:spacing w:after="160" w:line="360"/>
      </w:pPr>
      <w:r>
        <w:rPr>
          <w:rFonts w:ascii="Inter" w:cs="Inter" w:eastAsia="Inter" w:hAnsi="Inter"/>
          <w:color w:val="4D4D4D"/>
          <w:sz w:val="22"/>
          <w:szCs w:val="22"/>
        </w:rPr>
        <w:t xml:space="preserve">Ilustración de arquetipo, no la foto de una participante.</w:t>
      </w:r>
    </w:p>
    <w:p>
      <w:pPr>
        <w:pBdr>
          <w:left w:val="single" w:color="AA5144" w:sz="12" w:space="12"/>
        </w:pBdr>
        <w:spacing w:after="160" w:line="360"/>
        <w:ind w:left="360"/>
      </w:pPr>
      <w:r>
        <w:rPr>
          <w:rFonts w:ascii="Inter" w:cs="Inter" w:eastAsia="Inter" w:hAnsi="Inter"/>
          <w:color w:val="162B39"/>
          <w:sz w:val="22"/>
          <w:szCs w:val="22"/>
        </w:rPr>
        <w:t xml:space="preserve">"Antes de apretar reviso tres veces. Si me equivoco de cuenta, no sé a quién le reclamo."</w:t>
      </w:r>
    </w:p>
    <w:p>
      <w:pPr>
        <w:pStyle w:val="Heading3"/>
        <w:keepNext/>
        <w:spacing w:after="100" w:before="240"/>
      </w:pPr>
      <w:r>
        <w:rPr>
          <w:rFonts w:ascii="Raleway" w:cs="Raleway" w:eastAsia="Raleway" w:hAnsi="Raleway"/>
          <w:b/>
          <w:bCs/>
          <w:color w:val="162B39"/>
          <w:sz w:val="24"/>
          <w:szCs w:val="24"/>
        </w:rPr>
        <w:t xml:space="preserve">Motivación</w:t>
      </w:r>
    </w:p>
    <w:p>
      <w:pPr>
        <w:spacing w:after="160" w:line="360"/>
      </w:pPr>
      <w:r>
        <w:rPr>
          <w:rFonts w:ascii="Inter" w:cs="Inter" w:eastAsia="Inter" w:hAnsi="Inter"/>
          <w:color w:val="4D4D4D"/>
          <w:sz w:val="22"/>
          <w:szCs w:val="22"/>
        </w:rPr>
        <w:t xml:space="preserve">Quiere terminar la transferencia </w:t>
      </w:r>
      <w:r>
        <w:rPr>
          <w:rFonts w:ascii="Inter" w:cs="Inter" w:eastAsia="Inter" w:hAnsi="Inter"/>
          <w:b/>
          <w:bCs/>
          <w:color w:val="162B39"/>
          <w:sz w:val="22"/>
          <w:szCs w:val="22"/>
        </w:rPr>
        <w:t xml:space="preserve">sabiendo que llegó a quien tenía que llegar</w:t>
      </w:r>
      <w:r>
        <w:rPr>
          <w:rFonts w:ascii="Inter" w:cs="Inter" w:eastAsia="Inter" w:hAnsi="Inter"/>
          <w:color w:val="4D4D4D"/>
          <w:sz w:val="22"/>
          <w:szCs w:val="22"/>
        </w:rPr>
        <w:t xml:space="preserve">. No busca rapidez: busca confirmación. Lleva 22 años llevando la contabilidad de una empresa chica, y ahí un error de pago se descubre semanas después y lo paga ella en horas de trabajo. Trae esa regla al banco.</w:t>
      </w:r>
    </w:p>
    <w:p>
      <w:pPr>
        <w:spacing w:after="160" w:line="360"/>
      </w:pPr>
      <w:r>
        <w:rPr>
          <w:rFonts w:ascii="Inter" w:cs="Inter" w:eastAsia="Inter" w:hAnsi="Inter"/>
          <w:i/>
          <w:iCs/>
          <w:color w:val="4D4D4D"/>
          <w:sz w:val="22"/>
          <w:szCs w:val="22"/>
        </w:rPr>
        <w:t xml:space="preserve">Evidencia:</w:t>
      </w:r>
      <w:r>
        <w:rPr>
          <w:rFonts w:ascii="Inter" w:cs="Inter" w:eastAsia="Inter" w:hAnsi="Inter"/>
          <w:color w:val="4D4D4D"/>
          <w:sz w:val="22"/>
          <w:szCs w:val="22"/>
        </w:rPr>
        <w:t xml:space="preserve"> P2, P5, P9, P11 describen la verificación repetida sin que se les pregunte por ella. En la encuesta, 61 % marca «revisar los datos antes de confirmar» entre sus dos pasos más importantes.</w:t>
      </w:r>
    </w:p>
    <w:p>
      <w:pPr>
        <w:pStyle w:val="Heading3"/>
        <w:keepNext/>
        <w:spacing w:after="100" w:before="240"/>
      </w:pPr>
      <w:r>
        <w:rPr>
          <w:rFonts w:ascii="Raleway" w:cs="Raleway" w:eastAsia="Raleway" w:hAnsi="Raleway"/>
          <w:b/>
          <w:bCs/>
          <w:color w:val="162B39"/>
          <w:sz w:val="24"/>
          <w:szCs w:val="24"/>
        </w:rPr>
        <w:t xml:space="preserve">Necesidades y dolores</w:t>
      </w:r>
    </w:p>
    <w:p>
      <w:pPr>
        <w:pStyle w:val="ListParagraph"/>
        <w:numPr>
          <w:ilvl w:val="0"/>
          <w:numId w:val="1"/>
        </w:numPr>
        <w:spacing w:after="80" w:line="360"/>
      </w:pPr>
      <w:r>
        <w:rPr>
          <w:rFonts w:ascii="Inter" w:cs="Inter" w:eastAsia="Inter" w:hAnsi="Inter"/>
          <w:color w:val="4D4D4D"/>
          <w:sz w:val="22"/>
          <w:szCs w:val="22"/>
        </w:rPr>
        <w:t xml:space="preserve">Necesita ver el nombre del destinatario, no solo el número de cuenta, antes de confirmar · </w:t>
      </w:r>
      <w:r>
        <w:rPr>
          <w:rFonts w:ascii="Inter" w:cs="Inter" w:eastAsia="Inter" w:hAnsi="Inter"/>
          <w:i/>
          <w:iCs/>
          <w:color w:val="4D4D4D"/>
          <w:sz w:val="22"/>
          <w:szCs w:val="22"/>
        </w:rPr>
        <w:t xml:space="preserve">evidencia:</w:t>
      </w:r>
      <w:r>
        <w:rPr>
          <w:rFonts w:ascii="Inter" w:cs="Inter" w:eastAsia="Inter" w:hAnsi="Inter"/>
          <w:color w:val="4D4D4D"/>
          <w:sz w:val="22"/>
          <w:szCs w:val="22"/>
        </w:rPr>
        <w:t xml:space="preserve"> P2, P5, P9, P11, P14</w:t>
      </w:r>
    </w:p>
    <w:p>
      <w:pPr>
        <w:pStyle w:val="ListParagraph"/>
        <w:numPr>
          <w:ilvl w:val="0"/>
          <w:numId w:val="1"/>
        </w:numPr>
        <w:spacing w:after="80" w:line="360"/>
      </w:pPr>
      <w:r>
        <w:rPr>
          <w:rFonts w:ascii="Inter" w:cs="Inter" w:eastAsia="Inter" w:hAnsi="Inter"/>
          <w:color w:val="4D4D4D"/>
          <w:sz w:val="22"/>
          <w:szCs w:val="22"/>
        </w:rPr>
        <w:t xml:space="preserve">Le molesta que el comprobante llegue por correo y no quede en la app · </w:t>
      </w:r>
      <w:r>
        <w:rPr>
          <w:rFonts w:ascii="Inter" w:cs="Inter" w:eastAsia="Inter" w:hAnsi="Inter"/>
          <w:i/>
          <w:iCs/>
          <w:color w:val="4D4D4D"/>
          <w:sz w:val="22"/>
          <w:szCs w:val="22"/>
        </w:rPr>
        <w:t xml:space="preserve">evidencia:</w:t>
      </w:r>
      <w:r>
        <w:rPr>
          <w:rFonts w:ascii="Inter" w:cs="Inter" w:eastAsia="Inter" w:hAnsi="Inter"/>
          <w:color w:val="4D4D4D"/>
          <w:sz w:val="22"/>
          <w:szCs w:val="22"/>
        </w:rPr>
        <w:t xml:space="preserve"> 9 de 14 participantes lo mencionan sin que se pregunte</w:t>
      </w:r>
    </w:p>
    <w:p>
      <w:pPr>
        <w:pStyle w:val="ListParagraph"/>
        <w:numPr>
          <w:ilvl w:val="0"/>
          <w:numId w:val="1"/>
        </w:numPr>
        <w:spacing w:after="80" w:line="360"/>
      </w:pPr>
      <w:r>
        <w:rPr>
          <w:rFonts w:ascii="Inter" w:cs="Inter" w:eastAsia="Inter" w:hAnsi="Inter"/>
          <w:color w:val="4D4D4D"/>
          <w:sz w:val="22"/>
          <w:szCs w:val="22"/>
        </w:rPr>
        <w:t xml:space="preserve">No entiende qué significa que una transferencia quede «en proceso» ni cuánto dura eso · </w:t>
      </w:r>
      <w:r>
        <w:rPr>
          <w:rFonts w:ascii="Inter" w:cs="Inter" w:eastAsia="Inter" w:hAnsi="Inter"/>
          <w:i/>
          <w:iCs/>
          <w:color w:val="4D4D4D"/>
          <w:sz w:val="22"/>
          <w:szCs w:val="22"/>
        </w:rPr>
        <w:t xml:space="preserve">evidencia:</w:t>
      </w:r>
      <w:r>
        <w:rPr>
          <w:rFonts w:ascii="Inter" w:cs="Inter" w:eastAsia="Inter" w:hAnsi="Inter"/>
          <w:color w:val="4D4D4D"/>
          <w:sz w:val="22"/>
          <w:szCs w:val="22"/>
        </w:rPr>
        <w:t xml:space="preserve"> P5, P9; 34 % de la encuesta declara haber llamado al call center por este motivo</w:t>
      </w:r>
    </w:p>
    <w:p>
      <w:pPr>
        <w:pStyle w:val="Heading3"/>
        <w:keepNext/>
        <w:spacing w:after="100" w:before="240"/>
      </w:pPr>
      <w:r>
        <w:rPr>
          <w:rFonts w:ascii="Raleway" w:cs="Raleway" w:eastAsia="Raleway" w:hAnsi="Raleway"/>
          <w:b/>
          <w:bCs/>
          <w:color w:val="162B39"/>
          <w:sz w:val="24"/>
          <w:szCs w:val="24"/>
        </w:rPr>
        <w:t xml:space="preserve">Comportamientos observados</w:t>
      </w:r>
    </w:p>
    <w:p>
      <w:pPr>
        <w:pStyle w:val="ListParagraph"/>
        <w:numPr>
          <w:ilvl w:val="0"/>
          <w:numId w:val="1"/>
        </w:numPr>
        <w:spacing w:after="80" w:line="360"/>
      </w:pPr>
      <w:r>
        <w:rPr>
          <w:rFonts w:ascii="Inter" w:cs="Inter" w:eastAsia="Inter" w:hAnsi="Inter"/>
          <w:color w:val="4D4D4D"/>
          <w:sz w:val="22"/>
          <w:szCs w:val="22"/>
        </w:rPr>
        <w:t xml:space="preserve">Transfiere al mismo grupo de 5 o 6 destinatarios, casi siempre los mismos · </w:t>
      </w:r>
      <w:r>
        <w:rPr>
          <w:rFonts w:ascii="Inter" w:cs="Inter" w:eastAsia="Inter" w:hAnsi="Inter"/>
          <w:i/>
          <w:iCs/>
          <w:color w:val="4D4D4D"/>
          <w:sz w:val="22"/>
          <w:szCs w:val="22"/>
        </w:rPr>
        <w:t xml:space="preserve">evidencia:</w:t>
      </w:r>
      <w:r>
        <w:rPr>
          <w:rFonts w:ascii="Inter" w:cs="Inter" w:eastAsia="Inter" w:hAnsi="Inter"/>
          <w:color w:val="4D4D4D"/>
          <w:sz w:val="22"/>
          <w:szCs w:val="22"/>
        </w:rPr>
        <w:t xml:space="preserve"> 11 de 14 participantes; la mediana de destinatarios distintos en 6 meses es 7</w:t>
      </w:r>
    </w:p>
    <w:p>
      <w:pPr>
        <w:pStyle w:val="ListParagraph"/>
        <w:numPr>
          <w:ilvl w:val="0"/>
          <w:numId w:val="1"/>
        </w:numPr>
        <w:spacing w:after="80" w:line="360"/>
      </w:pPr>
      <w:r>
        <w:rPr>
          <w:rFonts w:ascii="Inter" w:cs="Inter" w:eastAsia="Inter" w:hAnsi="Inter"/>
          <w:color w:val="4D4D4D"/>
          <w:sz w:val="22"/>
          <w:szCs w:val="22"/>
        </w:rPr>
        <w:t xml:space="preserve">Antes de una transferencia nueva manda un monto chico de prueba · </w:t>
      </w:r>
      <w:r>
        <w:rPr>
          <w:rFonts w:ascii="Inter" w:cs="Inter" w:eastAsia="Inter" w:hAnsi="Inter"/>
          <w:i/>
          <w:iCs/>
          <w:color w:val="4D4D4D"/>
          <w:sz w:val="22"/>
          <w:szCs w:val="22"/>
        </w:rPr>
        <w:t xml:space="preserve">evidencia:</w:t>
      </w:r>
      <w:r>
        <w:rPr>
          <w:rFonts w:ascii="Inter" w:cs="Inter" w:eastAsia="Inter" w:hAnsi="Inter"/>
          <w:color w:val="4D4D4D"/>
          <w:sz w:val="22"/>
          <w:szCs w:val="22"/>
        </w:rPr>
        <w:t xml:space="preserve"> 6 de 14 participantes</w:t>
      </w:r>
    </w:p>
    <w:p>
      <w:pPr>
        <w:pStyle w:val="ListParagraph"/>
        <w:numPr>
          <w:ilvl w:val="0"/>
          <w:numId w:val="1"/>
        </w:numPr>
        <w:spacing w:after="80" w:line="360"/>
      </w:pPr>
      <w:r>
        <w:rPr>
          <w:rFonts w:ascii="Inter" w:cs="Inter" w:eastAsia="Inter" w:hAnsi="Inter"/>
          <w:color w:val="4D4D4D"/>
          <w:sz w:val="22"/>
          <w:szCs w:val="22"/>
        </w:rPr>
        <w:t xml:space="preserve">Hace las transferencias grandes desde el computador, no desde el teléfono · </w:t>
      </w:r>
      <w:r>
        <w:rPr>
          <w:rFonts w:ascii="Inter" w:cs="Inter" w:eastAsia="Inter" w:hAnsi="Inter"/>
          <w:i/>
          <w:iCs/>
          <w:color w:val="4D4D4D"/>
          <w:sz w:val="22"/>
          <w:szCs w:val="22"/>
        </w:rPr>
        <w:t xml:space="preserve">evidencia:</w:t>
      </w:r>
      <w:r>
        <w:rPr>
          <w:rFonts w:ascii="Inter" w:cs="Inter" w:eastAsia="Inter" w:hAnsi="Inter"/>
          <w:color w:val="4D4D4D"/>
          <w:sz w:val="22"/>
          <w:szCs w:val="22"/>
        </w:rPr>
        <w:t xml:space="preserve"> 8 de 14; en analytics, el 71 % de las transferencias sobre $500.000 vienen de web</w:t>
      </w:r>
    </w:p>
    <w:p>
      <w:pPr>
        <w:pStyle w:val="Heading3"/>
        <w:keepNext/>
        <w:spacing w:after="100" w:before="240"/>
      </w:pPr>
      <w:r>
        <w:rPr>
          <w:rFonts w:ascii="Raleway" w:cs="Raleway" w:eastAsia="Raleway" w:hAnsi="Raleway"/>
          <w:b/>
          <w:bCs/>
          <w:color w:val="162B39"/>
          <w:sz w:val="24"/>
          <w:szCs w:val="24"/>
        </w:rPr>
        <w:t xml:space="preserve">Contexto</w:t>
      </w:r>
    </w:p>
    <w:p>
      <w:pPr>
        <w:spacing w:after="160" w:line="360"/>
      </w:pPr>
      <w:r>
        <w:rPr>
          <w:rFonts w:ascii="Inter" w:cs="Inter" w:eastAsia="Inter" w:hAnsi="Inter"/>
          <w:color w:val="4D4D4D"/>
          <w:sz w:val="22"/>
          <w:szCs w:val="22"/>
        </w:rPr>
        <w:t xml:space="preserve">Casi siempre de noche, en la casa, con el teléfono en la mano y la tele puesta. A veces con alguien al lado preguntándole si ya pagó. El teléfono es de trabajo y de casa a la vez, y se queda sin batería antes de las ocho.</w:t>
      </w:r>
    </w:p>
    <w:p>
      <w:pPr>
        <w:pStyle w:val="Heading3"/>
        <w:keepNext/>
        <w:spacing w:after="100" w:before="240"/>
      </w:pPr>
      <w:r>
        <w:rPr>
          <w:rFonts w:ascii="Raleway" w:cs="Raleway" w:eastAsia="Raleway" w:hAnsi="Raleway"/>
          <w:b/>
          <w:bCs/>
          <w:color w:val="162B39"/>
          <w:sz w:val="24"/>
          <w:szCs w:val="24"/>
        </w:rPr>
        <w:t xml:space="preserve">Qué la diferencia de las otras</w:t>
      </w:r>
    </w:p>
    <w:p>
      <w:pPr>
        <w:spacing w:after="160" w:line="360"/>
      </w:pPr>
      <w:r>
        <w:rPr>
          <w:rFonts w:ascii="Inter" w:cs="Inter" w:eastAsia="Inter" w:hAnsi="Inter"/>
          <w:color w:val="4D4D4D"/>
          <w:sz w:val="22"/>
          <w:szCs w:val="22"/>
        </w:rPr>
        <w:t xml:space="preserve">Marisol es la única que </w:t>
      </w:r>
      <w:r>
        <w:rPr>
          <w:rFonts w:ascii="Inter" w:cs="Inter" w:eastAsia="Inter" w:hAnsi="Inter"/>
          <w:b/>
          <w:bCs/>
          <w:color w:val="162B39"/>
          <w:sz w:val="22"/>
          <w:szCs w:val="22"/>
        </w:rPr>
        <w:t xml:space="preserve">verifica después de confirmar</w:t>
      </w:r>
      <w:r>
        <w:rPr>
          <w:rFonts w:ascii="Inter" w:cs="Inter" w:eastAsia="Inter" w:hAnsi="Inter"/>
          <w:color w:val="4D4D4D"/>
          <w:sz w:val="22"/>
          <w:szCs w:val="22"/>
        </w:rPr>
        <w:t xml:space="preserve">: vuelve a entrar a la app para ver si la transferencia aparece. Las otras fichas confían en el mensaje de éxito y cierran.</w:t>
      </w:r>
    </w:p>
    <w:p>
      <w:pPr>
        <w:pStyle w:val="Heading3"/>
        <w:keepNext/>
        <w:spacing w:after="100" w:before="240"/>
      </w:pPr>
      <w:r>
        <w:rPr>
          <w:rFonts w:ascii="Raleway" w:cs="Raleway" w:eastAsia="Raleway" w:hAnsi="Raleway"/>
          <w:b/>
          <w:bCs/>
          <w:color w:val="162B39"/>
          <w:sz w:val="24"/>
          <w:szCs w:val="24"/>
        </w:rPr>
        <w:t xml:space="preserve">Escenario</w:t>
      </w:r>
    </w:p>
    <w:p>
      <w:pPr>
        <w:spacing w:after="160" w:line="360"/>
      </w:pPr>
      <w:r>
        <w:rPr>
          <w:rFonts w:ascii="Inter" w:cs="Inter" w:eastAsia="Inter" w:hAnsi="Inter"/>
          <w:color w:val="4D4D4D"/>
          <w:sz w:val="22"/>
          <w:szCs w:val="22"/>
        </w:rPr>
        <w:t xml:space="preserve">Es jueves por la noche. Marisol tiene que pagarle a un proveedor nuevo antes del viernes o se cae el despacho. Tiene el número de cuenta en un WhatsApp que le mandaron en una foto de un papel escrito a mano. No está segura de si el 6 es un 6 o un 8. Son las once, no hay a quién preguntarle, y el pago no puede esperar al lunes.</w:t>
      </w:r>
    </w:p>
    <w:p>
      <w:pPr>
        <w:pStyle w:val="Heading3"/>
        <w:keepNext/>
        <w:spacing w:after="100" w:before="240"/>
      </w:pPr>
      <w:r>
        <w:rPr>
          <w:rFonts w:ascii="Raleway" w:cs="Raleway" w:eastAsia="Raleway" w:hAnsi="Raleway"/>
          <w:b/>
          <w:bCs/>
          <w:color w:val="162B39"/>
          <w:sz w:val="24"/>
          <w:szCs w:val="24"/>
        </w:rPr>
        <w:t xml:space="preserve">Supuestos sin evidencia</w:t>
      </w:r>
    </w:p>
    <w:p>
      <w:pPr>
        <w:pStyle w:val="ListParagraph"/>
        <w:numPr>
          <w:ilvl w:val="0"/>
          <w:numId w:val="1"/>
        </w:numPr>
        <w:spacing w:after="80" w:line="360"/>
      </w:pPr>
      <w:r>
        <w:rPr>
          <w:rFonts w:ascii="Inter" w:cs="Inter" w:eastAsia="Inter" w:hAnsi="Inter"/>
          <w:color w:val="4D4D4D"/>
          <w:sz w:val="22"/>
          <w:szCs w:val="22"/>
        </w:rPr>
        <w:t xml:space="preserve">Creemos que la transferencia de prueba se haría menos si el nombre del destinatario se mostrara completo, pero no lo medimos: ningún participante usó un flujo que lo mostrara.</w:t>
      </w:r>
    </w:p>
    <w:p>
      <w:pPr>
        <w:pStyle w:val="ListParagraph"/>
        <w:numPr>
          <w:ilvl w:val="0"/>
          <w:numId w:val="1"/>
        </w:numPr>
        <w:spacing w:after="80" w:line="360"/>
      </w:pPr>
      <w:r>
        <w:rPr>
          <w:rFonts w:ascii="Inter" w:cs="Inter" w:eastAsia="Inter" w:hAnsi="Inter"/>
          <w:color w:val="4D4D4D"/>
          <w:sz w:val="22"/>
          <w:szCs w:val="22"/>
        </w:rPr>
        <w:t xml:space="preserve">Creemos que el uso del computador para montos altos es por confianza y no por el tamaño de la pantalla. Las dos explicaciones aparecen en las entrevistas y no las separamos.</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Ignacio Vergara · anti-persona</w:t>
      </w:r>
    </w:p>
    <w:p>
      <w:pPr>
        <w:spacing w:after="160" w:line="360"/>
      </w:pPr>
      <w:r>
        <w:rPr>
          <w:rFonts w:ascii="Inter" w:cs="Inter" w:eastAsia="Inter" w:hAnsi="Inter"/>
          <w:b/>
          <w:bCs/>
          <w:color w:val="162B39"/>
          <w:sz w:val="22"/>
          <w:szCs w:val="22"/>
        </w:rPr>
        <w:t xml:space="preserve">Para quién no estamos diseñando.</w:t>
      </w:r>
      <w:r>
        <w:rPr>
          <w:rFonts w:ascii="Inter" w:cs="Inter" w:eastAsia="Inter" w:hAnsi="Inter"/>
          <w:color w:val="4D4D4D"/>
          <w:sz w:val="22"/>
          <w:szCs w:val="22"/>
        </w:rPr>
        <w:t xml:space="preserve"> Esta ficha no describe a un cliente al que haya que servir mejor: describe al cliente cuyas peticiones, si se atienden, rompen el flujo para todos los demás. Se escribe justamente para poder nombrarla en una reunión.</w:t>
      </w:r>
    </w:p>
    <w:p>
      <w:pPr>
        <w:spacing w:after="160" w:line="360"/>
      </w:pPr>
      <w:r>
        <w:rPr>
          <w:rFonts w:ascii="Inter" w:cs="Inter" w:eastAsia="Inter" w:hAnsi="Inter"/>
          <w:color w:val="4D4D4D"/>
          <w:sz w:val="22"/>
          <w:szCs w:val="22"/>
        </w:rPr>
        <w:t xml:space="preserve">Opera desde tres plataformas, mueve dinero entre instrumentos varias veces por semana y pide en cada encuesta abierta lo mismo: gráficos en tiempo real, órdenes programadas y API. Cada una de esas funciones agrega un paso o una pantalla al flujo que Marisol recorre de noche con la tele puesta.</w:t>
      </w:r>
    </w:p>
    <w:p>
      <w:pPr>
        <w:spacing w:after="160" w:line="360"/>
      </w:pPr>
      <w:r>
        <w:rPr>
          <w:rFonts w:ascii="Inter" w:cs="Inter" w:eastAsia="Inter" w:hAnsi="Inter"/>
          <w:i/>
          <w:iCs/>
          <w:color w:val="4D4D4D"/>
          <w:sz w:val="22"/>
          <w:szCs w:val="22"/>
        </w:rPr>
        <w:t xml:space="preserve">Por qué existe esta ficha:</w:t>
      </w:r>
      <w:r>
        <w:rPr>
          <w:rFonts w:ascii="Inter" w:cs="Inter" w:eastAsia="Inter" w:hAnsi="Inter"/>
          <w:color w:val="4D4D4D"/>
          <w:sz w:val="22"/>
          <w:szCs w:val="22"/>
        </w:rPr>
        <w:t xml:space="preserve"> aparece en 3 de 14 entrevistas y es el perfil más ruidoso en los canales de feedback, así que su voz pesa más que su tamaño. Sin ficha, la discusión de priorización lo trata como «el usuario avanzado» y termina justificando funciones que nadie más pidió.</w:t>
      </w:r>
    </w:p>
    <w:p>
      <w:pPr>
        <w:spacing w:after="160" w:line="360"/>
      </w:pPr>
      <w:r>
        <w:rPr>
          <w:rFonts w:ascii="Inter" w:cs="Inter" w:eastAsia="Inter" w:hAnsi="Inter"/>
          <w:i/>
          <w:iCs/>
          <w:color w:val="4D4D4D"/>
          <w:sz w:val="22"/>
          <w:szCs w:val="22"/>
        </w:rPr>
        <w:t xml:space="preserve">Qué no significa:</w:t>
      </w:r>
      <w:r>
        <w:rPr>
          <w:rFonts w:ascii="Inter" w:cs="Inter" w:eastAsia="Inter" w:hAnsi="Inter"/>
          <w:color w:val="4D4D4D"/>
          <w:sz w:val="22"/>
          <w:szCs w:val="22"/>
        </w:rPr>
        <w:t xml:space="preserve"> que no sea cliente ni que no importe. Significa que </w:t>
      </w:r>
      <w:r>
        <w:rPr>
          <w:rFonts w:ascii="Inter" w:cs="Inter" w:eastAsia="Inter" w:hAnsi="Inter"/>
          <w:b/>
          <w:bCs/>
          <w:color w:val="162B39"/>
          <w:sz w:val="22"/>
          <w:szCs w:val="22"/>
        </w:rPr>
        <w:t xml:space="preserve">esta app</w:t>
      </w:r>
      <w:r>
        <w:rPr>
          <w:rFonts w:ascii="Inter" w:cs="Inter" w:eastAsia="Inter" w:hAnsi="Inter"/>
          <w:color w:val="4D4D4D"/>
          <w:sz w:val="22"/>
          <w:szCs w:val="22"/>
        </w:rPr>
        <w:t xml:space="preserve"> no es donde se le atiende.</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Plan de adopción</w:t>
      </w:r>
    </w:p>
    <w:p>
      <w:pPr>
        <w:spacing w:after="160" w:line="360"/>
      </w:pPr>
      <w:r>
        <w:rPr>
          <w:rFonts w:ascii="Inter" w:cs="Inter" w:eastAsia="Inter" w:hAnsi="Inter"/>
          <w:b/>
          <w:bCs/>
          <w:color w:val="162B39"/>
          <w:sz w:val="22"/>
          <w:szCs w:val="22"/>
        </w:rPr>
        <w:t xml:space="preserve">Presentación · 26/09/2026</w:t>
      </w:r>
    </w:p>
    <w:p>
      <w:pPr>
        <w:spacing w:after="160" w:line="360"/>
      </w:pPr>
      <w:r>
        <w:rPr>
          <w:rFonts w:ascii="Inter" w:cs="Inter" w:eastAsia="Inter" w:hAnsi="Inter"/>
          <w:color w:val="4D4D4D"/>
          <w:sz w:val="22"/>
          <w:szCs w:val="22"/>
        </w:rPr>
        <w:t xml:space="preserve">El orden que funciona: qué son y por qué se levantaron · cómo se llegó a ellas · en qué se diferencian de la segmentación existente · las personas, primarias y secundarias, y qué las distingue entre sí · próximos pasos.</w:t>
      </w:r>
    </w:p>
    <w:p>
      <w:pPr>
        <w:spacing w:after="160" w:line="360"/>
      </w:pPr>
      <w:r>
        <w:rPr>
          <w:rFonts w:ascii="Inter" w:cs="Inter" w:eastAsia="Inter" w:hAnsi="Inter"/>
          <w:b/>
          <w:bCs/>
          <w:color w:val="162B39"/>
          <w:sz w:val="22"/>
          <w:szCs w:val="22"/>
        </w:rPr>
        <w:t xml:space="preserve">Preguntas frecuentes anticipadas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9"/>
        <w:gridCol w:w="6055"/>
      </w:tblGrid>
      <w:tr>
        <w:trPr>
          <w:tblHeader/>
        </w:trPr>
        <w:tc>
          <w:tcPr>
            <w:tcW w:type="dxa" w:w="325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Pregunta que va a salir</w:t>
            </w:r>
          </w:p>
        </w:tc>
        <w:tc>
          <w:tcPr>
            <w:tcW w:type="dxa" w:w="605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Respuesta preparada</w:t>
            </w:r>
          </w:p>
        </w:tc>
      </w:tr>
      <w:tr>
        <w:trPr>
          <w:tblHeader w:val="false"/>
        </w:trPr>
        <w:tc>
          <w:tcPr>
            <w:tcW w:type="dxa" w:w="32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¿Esto reemplaza la segmentación de Inteligencia de Negocio?</w:t>
            </w:r>
          </w:p>
        </w:tc>
        <w:tc>
          <w:tcPr>
            <w:tcW w:type="dxa" w:w="6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Esa dice cuánto vale un cliente; esta dice cómo se comporta al transferir. Se usan juntas y respondemos preguntas distintas.</w:t>
            </w:r>
          </w:p>
        </w:tc>
      </w:tr>
      <w:tr>
        <w:trPr>
          <w:tblHeader w:val="false"/>
        </w:trPr>
        <w:tc>
          <w:tcPr>
            <w:tcW w:type="dxa" w:w="32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 cuántas personas salió?</w:t>
            </w:r>
          </w:p>
        </w:tc>
        <w:tc>
          <w:tcPr>
            <w:tcW w:type="dxa" w:w="6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14 entrevistas, 380 respuestas de encuesta y seis meses de analytics. Las fichas describen patrones de esa muestra, no porcentajes de la cartera.</w:t>
            </w:r>
          </w:p>
        </w:tc>
      </w:tr>
      <w:tr>
        <w:trPr>
          <w:tblHeader w:val="false"/>
        </w:trPr>
        <w:tc>
          <w:tcPr>
            <w:tcW w:type="dxa" w:w="32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¿Cada cuánto se actualizan?</w:t>
            </w:r>
          </w:p>
        </w:tc>
        <w:tc>
          <w:tcPr>
            <w:tcW w:type="dxa" w:w="6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En marzo, o antes si cambia el flujo de transferencias. La fecha está escrita en la ficha.</w:t>
            </w:r>
          </w:p>
        </w:tc>
      </w:tr>
      <w:tr>
        <w:trPr>
          <w:tblHeader w:val="false"/>
        </w:trPr>
        <w:tc>
          <w:tcPr>
            <w:tcW w:type="dxa" w:w="32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¿Por qué no hay una persona joven?</w:t>
            </w:r>
          </w:p>
        </w:tc>
        <w:tc>
          <w:tcPr>
            <w:tcW w:type="dxa" w:w="6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Porque la edad no separó comportamientos en esta muestra: lo que separó fue la tolerancia al error irreversible. Si aparece esa diferencia, se agrega.</w:t>
            </w:r>
          </w:p>
        </w:tc>
      </w:tr>
    </w:tbl>
    <w:p>
      <w:pPr>
        <w:spacing w:after="160"/>
      </w:pPr>
    </w:p>
    <w:p>
      <w:pPr>
        <w:spacing w:after="160" w:line="360"/>
      </w:pPr>
      <w:r>
        <w:rPr>
          <w:rFonts w:ascii="Inter" w:cs="Inter" w:eastAsia="Inter" w:hAnsi="Inter"/>
          <w:b/>
          <w:bCs/>
          <w:color w:val="162B39"/>
          <w:sz w:val="22"/>
          <w:szCs w:val="22"/>
        </w:rPr>
        <w:t xml:space="preserve">Después de la presentación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6"/>
        <w:gridCol w:w="2405"/>
        <w:gridCol w:w="1863"/>
      </w:tblGrid>
      <w:tr>
        <w:trPr>
          <w:tblHeader/>
        </w:trPr>
        <w:tc>
          <w:tcPr>
            <w:tcW w:type="dxa" w:w="504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Acción</w:t>
            </w:r>
          </w:p>
        </w:tc>
        <w:tc>
          <w:tcPr>
            <w:tcW w:type="dxa" w:w="240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Responsable</w:t>
            </w:r>
          </w:p>
        </w:tc>
        <w:tc>
          <w:tcPr>
            <w:tcW w:type="dxa" w:w="18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Fecha</w:t>
            </w:r>
          </w:p>
        </w:tc>
      </w:tr>
      <w:tr>
        <w:trPr>
          <w:tblHeader w:val="false"/>
        </w:trPr>
        <w:tc>
          <w:tcPr>
            <w:tcW w:type="dxa" w:w="50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Taller de aplicación con el equipo de Transferencias</w:t>
            </w:r>
          </w:p>
        </w:tc>
        <w:tc>
          <w:tcPr>
            <w:tcW w:type="dxa" w:w="24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Jefatura de Research</w:t>
            </w: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03/10/2026</w:t>
            </w:r>
          </w:p>
        </w:tc>
      </w:tr>
      <w:tr>
        <w:trPr>
          <w:tblHeader w:val="false"/>
        </w:trPr>
        <w:tc>
          <w:tcPr>
            <w:tcW w:type="dxa" w:w="50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Repositorio permanente en la wiki de Producto, con enlace desde el tablero</w:t>
            </w:r>
          </w:p>
        </w:tc>
        <w:tc>
          <w:tcPr>
            <w:tcW w:type="dxa" w:w="24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Research</w:t>
            </w: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03/10/2026</w:t>
            </w:r>
          </w:p>
        </w:tc>
      </w:tr>
      <w:tr>
        <w:trPr>
          <w:tblHeader w:val="false"/>
        </w:trPr>
        <w:tc>
          <w:tcPr>
            <w:tcW w:type="dxa" w:w="50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Revisar en qué iniciativas se usaron</w:t>
            </w:r>
          </w:p>
        </w:tc>
        <w:tc>
          <w:tcPr>
            <w:tcW w:type="dxa" w:w="24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Research</w:t>
            </w:r>
          </w:p>
        </w:tc>
        <w:tc>
          <w:tcPr>
            <w:tcW w:type="dxa" w:w="18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20/12/2026</w:t>
            </w:r>
          </w:p>
        </w:tc>
      </w:tr>
    </w:tbl>
    <w:p>
      <w:pPr>
        <w:spacing w:after="160"/>
      </w:pPr>
    </w:p>
    <w:p>
      <w:pPr>
        <w:spacing w:after="160" w:line="360"/>
      </w:pPr>
      <w:r>
        <w:rPr>
          <w:rFonts w:ascii="Inter" w:cs="Inter" w:eastAsia="Inter" w:hAnsi="Inter"/>
          <w:b/>
          <w:bCs/>
          <w:color w:val="162B39"/>
          <w:sz w:val="22"/>
          <w:szCs w:val="22"/>
        </w:rPr>
        <w:t xml:space="preserve">Señal de que se adoptaron:</w:t>
      </w:r>
      <w:r>
        <w:rPr>
          <w:rFonts w:ascii="Inter" w:cs="Inter" w:eastAsia="Inter" w:hAnsi="Inter"/>
          <w:color w:val="4D4D4D"/>
          <w:sz w:val="22"/>
          <w:szCs w:val="22"/>
        </w:rPr>
        <w:t xml:space="preserve"> que en diciembre aparezca «Marisol» escrita por alguien que no es del equipo de research — en un criterio de aceptación, en un comentario de diseño o en la justificación de una prioridad.</w:t>
      </w:r>
    </w:p>
    <w:p>
      <w:pPr>
        <w:pStyle w:val="Heading3"/>
        <w:keepNext/>
        <w:spacing w:after="100" w:before="240"/>
      </w:pPr>
      <w:r>
        <w:rPr>
          <w:rFonts w:ascii="Raleway" w:cs="Raleway" w:eastAsia="Raleway" w:hAnsi="Raleway"/>
          <w:b/>
          <w:bCs/>
          <w:color w:val="162B39"/>
          <w:sz w:val="24"/>
          <w:szCs w:val="24"/>
        </w:rPr>
        <w:t xml:space="preserve">Nota de método y limitaciones</w:t>
      </w:r>
    </w:p>
    <w:p>
      <w:pPr>
        <w:spacing w:after="160" w:line="360"/>
      </w:pPr>
      <w:r>
        <w:rPr>
          <w:rFonts w:ascii="Inter" w:cs="Inter" w:eastAsia="Inter" w:hAnsi="Inter"/>
          <w:color w:val="4D4D4D"/>
          <w:sz w:val="22"/>
          <w:szCs w:val="22"/>
        </w:rPr>
        <w:t xml:space="preserve">Construidas a partir de 14 entrevistas en profundidad, una encuesta a 380 clientes con cuenta activa y seis meses de analytics. Los patrones describen comportamientos observados en la muestra, no proporciones de la población.</w:t>
      </w:r>
    </w:p>
    <w:p>
      <w:pPr>
        <w:spacing w:after="160" w:line="360"/>
      </w:pPr>
      <w:r>
        <w:rPr>
          <w:rFonts w:ascii="Inter" w:cs="Inter" w:eastAsia="Inter" w:hAnsi="Inter"/>
          <w:color w:val="4D4D4D"/>
          <w:sz w:val="22"/>
          <w:szCs w:val="22"/>
        </w:rPr>
        <w:t xml:space="preserve">Estas Personas no incorporan una mirada de inclusión — género, discapacidad, origen, y otras características que hacen a alguien único y que cambian su relación con el producto. Es un primer paso sobre la variabilidad, no un mapa completo de ella.</w:t>
      </w:r>
    </w:p>
    <w:p>
      <w:pPr>
        <w:spacing w:after="160" w:line="360"/>
      </w:pPr>
      <w:r>
        <w:rPr>
          <w:rFonts w:ascii="Inter" w:cs="Inter" w:eastAsia="Inter" w:hAnsi="Inter"/>
          <w:color w:val="4D4D4D"/>
          <w:sz w:val="22"/>
          <w:szCs w:val="22"/>
        </w:rPr>
        <w:t xml:space="preserve">Caducan. Revisar en 12/03/2027: si el producto o el mercado cambiaron, la ficha describe a alguien que ya no existe.</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Licencia y atribución</w:t>
      </w:r>
    </w:p>
    <w:p>
      <w:pPr>
        <w:spacing w:after="160" w:line="360"/>
      </w:pPr>
      <w:r>
        <w:rPr>
          <w:rFonts w:ascii="Inter" w:cs="Inter" w:eastAsia="Inter" w:hAnsi="Inter"/>
          <w:color w:val="4D4D4D"/>
          <w:sz w:val="22"/>
          <w:szCs w:val="22"/>
        </w:rPr>
        <w:t xml:space="preserve">Plantilla de UXR SpA · Paulina Contreras · versión 1.1</w:t>
      </w:r>
    </w:p>
    <w:p>
      <w:pPr>
        <w:spacing w:after="160" w:line="360"/>
      </w:pPr>
      <w:r>
        <w:rPr>
          <w:rFonts w:ascii="Inter" w:cs="Inter" w:eastAsia="Inter" w:hAnsi="Inter"/>
          <w:color w:val="4D4D4D"/>
          <w:sz w:val="22"/>
          <w:szCs w:val="22"/>
        </w:rPr>
        <w:t xml:space="preserve">Publicada bajo Creative Commons Atribución 4.0 Internacional (CC BY 4.0):
</w:t>
      </w:r>
      <w:hyperlink w:history="1" r:id="rIdv2ve5icmk5qeuhc-vq3xg">
        <w:r>
          <w:rPr>
            <w:rFonts w:ascii="Inter" w:cs="Inter" w:eastAsia="Inter" w:hAnsi="Inter"/>
            <w:color w:val="AA5144"/>
            <w:sz w:val="22"/>
            <w:szCs w:val="22"/>
            <w:u w:val="single"/>
          </w:rPr>
          <w:t xml:space="preserve">https://creativecommons.org/licenses/by/4.0/deed.es</w:t>
        </w:r>
      </w:hyperlink>
    </w:p>
    <w:p>
      <w:pPr>
        <w:spacing w:after="160" w:line="360"/>
      </w:pPr>
      <w:r>
        <w:rPr>
          <w:rFonts w:ascii="Inter" w:cs="Inter" w:eastAsia="Inter" w:hAnsi="Inter"/>
          <w:color w:val="4D4D4D"/>
          <w:sz w:val="22"/>
          <w:szCs w:val="22"/>
        </w:rPr>
        <w:t xml:space="preserve">Puedes usarla, adaptarla y usarla en trabajo pagado, incluso comercialmente,
siempre que cites la autoría y enlaces a uxr.cl.</w:t>
      </w:r>
    </w:p>
    <w:p>
      <w:pPr>
        <w:spacing w:after="160" w:line="360"/>
      </w:pPr>
      <w:r>
        <w:rPr>
          <w:rFonts w:ascii="Inter" w:cs="Inter" w:eastAsia="Inter" w:hAnsi="Inter"/>
          <w:color w:val="4D4D4D"/>
          <w:sz w:val="22"/>
          <w:szCs w:val="22"/>
        </w:rPr>
        <w:t xml:space="preserve">La licencia cubre esta plantilla. El documento que completes con ella es tuyo y
no queda bajo esta licencia: los datos de tu estudio y de tus participantes son
tuyos.</w:t>
      </w:r>
    </w:p>
    <w:p>
      <w:pPr>
        <w:spacing w:after="160" w:line="360"/>
      </w:pPr>
      <w:r>
        <w:rPr>
          <w:rFonts w:ascii="Inter" w:cs="Inter" w:eastAsia="Inter" w:hAnsi="Inter"/>
          <w:color w:val="4D4D4D"/>
          <w:sz w:val="22"/>
          <w:szCs w:val="22"/>
        </w:rPr>
        <w:t xml:space="preserve">Original, contexto de uso y fundamento legal: </w:t>
      </w:r>
      <w:hyperlink w:history="1" r:id="rIdjdkj5erjqbirue3gird1x">
        <w:r>
          <w:rPr>
            <w:rFonts w:ascii="Inter" w:cs="Inter" w:eastAsia="Inter" w:hAnsi="Inter"/>
            <w:color w:val="AA5144"/>
            <w:sz w:val="22"/>
            <w:szCs w:val="22"/>
            <w:u w:val="single"/>
          </w:rPr>
          <w:t xml:space="preserve">https://uxr.cl/es/plantillas/user-personas/</w:t>
        </w:r>
      </w:hyperlink>
      <w:r>
        <w:rPr>
          <w:rFonts w:ascii="Inter" w:cs="Inter" w:eastAsia="Inter" w:hAnsi="Inter"/>
          <w:color w:val="4D4D4D"/>
          <w:sz w:val="22"/>
          <w:szCs w:val="22"/>
        </w:rPr>
        <w:t xml:space="preserve">
Revisa que tu copia no esté vencida.</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2ve5icmk5qeuhc-vq3xg" Type="http://schemas.openxmlformats.org/officeDocument/2006/relationships/hyperlink" Target="https://creativecommons.org/licenses/by/4.0/deed.es" TargetMode="External"/><Relationship Id="rIdjdkj5erjqbirue3gird1x" Type="http://schemas.openxmlformats.org/officeDocument/2006/relationships/hyperlink" Target="https://uxr.cl/es/plantillas/user-persona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2026-09-30T19:16:41.712Z</dcterms:created>
  <dcterms:modified xsi:type="dcterms:W3CDTF">2026-09-30T19:16:41.712Z</dcterms:modified>
</cp:coreProperties>
</file>

<file path=docProps/custom.xml><?xml version="1.0" encoding="utf-8"?>
<Properties xmlns="http://schemas.openxmlformats.org/officeDocument/2006/custom-properties" xmlns:vt="http://schemas.openxmlformats.org/officeDocument/2006/docPropsVTypes"/>
</file>