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Hoja de auditoría de patrones oscuros</w:t>
      </w:r>
    </w:p>
    <w:p>
      <w:pPr>
        <w:pBdr>
          <w:bottom w:val="single" w:color="1D3648" w:sz="16" w:space="8"/>
        </w:pBdr>
        <w:spacing w:after="200"/>
      </w:pPr>
      <w:r>
        <w:rPr>
          <w:rFonts w:ascii="Inter" w:cs="Inter" w:eastAsia="Inter" w:hAnsi="Inter"/>
          <w:color w:val="5B6975"/>
          <w:sz w:val="21"/>
          <w:szCs w:val="21"/>
        </w:rPr>
        <w:t xml:space="preserve">Dark Patterns Audit Sheet</w:t>
      </w:r>
    </w:p>
    <w:p>
      <w:pPr>
        <w:spacing w:after="160" w:line="360"/>
      </w:pPr>
      <w:r>
        <w:rPr>
          <w:rFonts w:ascii="Inter" w:cs="Inter" w:eastAsia="Inter" w:hAnsi="Inter"/>
          <w:b/>
          <w:bCs/>
          <w:color w:val="162B39"/>
          <w:sz w:val="22"/>
          <w:szCs w:val="22"/>
        </w:rPr>
        <w:t xml:space="preserve">Sitio o producto:</w:t>
      </w:r>
      <w:r>
        <w:rPr>
          <w:rFonts w:ascii="Inter" w:cs="Inter" w:eastAsia="Inter" w:hAnsi="Inter"/>
          <w:color w:val="4D4D4D"/>
          <w:sz w:val="22"/>
          <w:szCs w:val="22"/>
        </w:rPr>
        <w:t xml:space="preserve"> [nombre y URL]</w:t>
      </w:r>
    </w:p>
    <w:p>
      <w:pPr>
        <w:spacing w:after="160" w:line="360"/>
      </w:pPr>
      <w:r>
        <w:rPr>
          <w:rFonts w:ascii="Inter" w:cs="Inter" w:eastAsia="Inter" w:hAnsi="Inter"/>
          <w:b/>
          <w:bCs/>
          <w:color w:val="162B39"/>
          <w:sz w:val="22"/>
          <w:szCs w:val="22"/>
        </w:rPr>
        <w:t xml:space="preserve">Quién audita:</w:t>
      </w:r>
      <w:r>
        <w:rPr>
          <w:rFonts w:ascii="Inter" w:cs="Inter" w:eastAsia="Inter" w:hAnsi="Inter"/>
          <w:color w:val="4D4D4D"/>
          <w:sz w:val="22"/>
          <w:szCs w:val="22"/>
        </w:rPr>
        <w:t xml:space="preserve"> [nombre]</w:t>
      </w:r>
    </w:p>
    <w:p>
      <w:pPr>
        <w:spacing w:after="160" w:line="360"/>
      </w:pPr>
      <w:r>
        <w:rPr>
          <w:rFonts w:ascii="Inter" w:cs="Inter" w:eastAsia="Inter" w:hAnsi="Inter"/>
          <w:b/>
          <w:bCs/>
          <w:color w:val="162B39"/>
          <w:sz w:val="22"/>
          <w:szCs w:val="22"/>
        </w:rPr>
        <w:t xml:space="preserve">Fecha de la primera visita:</w:t>
      </w:r>
      <w:r>
        <w:rPr>
          <w:rFonts w:ascii="Inter" w:cs="Inter" w:eastAsia="Inter" w:hAnsi="Inter"/>
          <w:color w:val="4D4D4D"/>
          <w:sz w:val="22"/>
          <w:szCs w:val="22"/>
        </w:rPr>
        <w:t xml:space="preserve"> [fecha]</w:t>
      </w:r>
    </w:p>
    <w:p>
      <w:pPr>
        <w:spacing w:after="160" w:line="360"/>
      </w:pPr>
      <w:r>
        <w:rPr>
          <w:rFonts w:ascii="Inter" w:cs="Inter" w:eastAsia="Inter" w:hAnsi="Inter"/>
          <w:b/>
          <w:bCs/>
          <w:color w:val="162B39"/>
          <w:sz w:val="22"/>
          <w:szCs w:val="22"/>
        </w:rPr>
        <w:t xml:space="preserve">Fechas de las visitas siguientes:</w:t>
      </w:r>
      <w:r>
        <w:rPr>
          <w:rFonts w:ascii="Inter" w:cs="Inter" w:eastAsia="Inter" w:hAnsi="Inter"/>
          <w:color w:val="4D4D4D"/>
          <w:sz w:val="22"/>
          <w:szCs w:val="22"/>
        </w:rPr>
        <w:t xml:space="preserve"> [fechas]</w:t>
      </w:r>
    </w:p>
    <w:p>
      <w:pPr>
        <w:pStyle w:val="Heading3"/>
        <w:keepNext/>
        <w:spacing w:after="100" w:before="240"/>
      </w:pPr>
      <w:r>
        <w:rPr>
          <w:rFonts w:ascii="Raleway" w:cs="Raleway" w:eastAsia="Raleway" w:hAnsi="Raleway"/>
          <w:b/>
          <w:bCs/>
          <w:color w:val="162B39"/>
          <w:sz w:val="24"/>
          <w:szCs w:val="24"/>
        </w:rPr>
        <w:t xml:space="preserve">Antes de empezar</w:t>
      </w:r>
    </w:p>
    <w:p>
      <w:pPr>
        <w:pStyle w:val="ListParagraph"/>
        <w:numPr>
          <w:ilvl w:val="0"/>
          <w:numId w:val="1"/>
        </w:numPr>
        <w:spacing w:after="80" w:line="360"/>
      </w:pPr>
      <w:r>
        <w:rPr>
          <w:rFonts w:ascii="Inter" w:cs="Inter" w:eastAsia="Inter" w:hAnsi="Inter"/>
          <w:b/>
          <w:bCs/>
          <w:color w:val="162B39"/>
          <w:sz w:val="22"/>
          <w:szCs w:val="22"/>
        </w:rPr>
        <w:t xml:space="preserve">Estar presente no es lo mismo que engañar.</w:t>
      </w:r>
      <w:r>
        <w:rPr>
          <w:rFonts w:ascii="Inter" w:cs="Inter" w:eastAsia="Inter" w:hAnsi="Inter"/>
          <w:color w:val="4D4D4D"/>
          <w:sz w:val="22"/>
          <w:szCs w:val="22"/>
        </w:rPr>
        <w:t xml:space="preserve"> Anota primero si el patrón aparece; probar que engaña suele pedir volver otro día.</w:t>
      </w:r>
    </w:p>
    <w:p>
      <w:pPr>
        <w:pStyle w:val="ListParagraph"/>
        <w:numPr>
          <w:ilvl w:val="0"/>
          <w:numId w:val="1"/>
        </w:numPr>
        <w:spacing w:after="80" w:line="360"/>
      </w:pPr>
      <w:r>
        <w:rPr>
          <w:rFonts w:ascii="Inter" w:cs="Inter" w:eastAsia="Inter" w:hAnsi="Inter"/>
          <w:b/>
          <w:bCs/>
          <w:color w:val="162B39"/>
          <w:sz w:val="22"/>
          <w:szCs w:val="22"/>
        </w:rPr>
        <w:t xml:space="preserve">Mira más allá de la pantalla:</w:t>
      </w:r>
      <w:r>
        <w:rPr>
          <w:rFonts w:ascii="Inter" w:cs="Inter" w:eastAsia="Inter" w:hAnsi="Inter"/>
          <w:color w:val="4D4D4D"/>
          <w:sz w:val="22"/>
          <w:szCs w:val="22"/>
        </w:rPr>
        <w:t xml:space="preserve"> el código fuente, los términos y condiciones, y el flujo completo (qué dispara un modal, qué pasa al querer deshacer algo).</w:t>
      </w:r>
    </w:p>
    <w:p>
      <w:pPr>
        <w:pStyle w:val="ListParagraph"/>
        <w:numPr>
          <w:ilvl w:val="0"/>
          <w:numId w:val="1"/>
        </w:numPr>
        <w:spacing w:after="80" w:line="360"/>
      </w:pPr>
      <w:r>
        <w:rPr>
          <w:rFonts w:ascii="Inter" w:cs="Inter" w:eastAsia="Inter" w:hAnsi="Inter"/>
          <w:b/>
          <w:bCs/>
          <w:color w:val="162B39"/>
          <w:sz w:val="22"/>
          <w:szCs w:val="22"/>
        </w:rPr>
        <w:t xml:space="preserve">Una frase encontrada es una señal para mirar, no una prueba.</w:t>
      </w:r>
    </w:p>
    <w:p>
      <w:pPr>
        <w:pStyle w:val="ListParagraph"/>
        <w:numPr>
          <w:ilvl w:val="0"/>
          <w:numId w:val="1"/>
        </w:numPr>
        <w:spacing w:after="80" w:line="360"/>
      </w:pPr>
      <w:r>
        <w:rPr>
          <w:rFonts w:ascii="Inter" w:cs="Inter" w:eastAsia="Inter" w:hAnsi="Inter"/>
          <w:color w:val="4D4D4D"/>
          <w:sz w:val="22"/>
          <w:szCs w:val="22"/>
        </w:rPr>
        <w:t xml:space="preserve">Si dudas, marca </w:t>
      </w:r>
      <w:r>
        <w:rPr>
          <w:rFonts w:ascii="Inter" w:cs="Inter" w:eastAsia="Inter" w:hAnsi="Inter"/>
          <w:b/>
          <w:bCs/>
          <w:color w:val="162B39"/>
          <w:sz w:val="22"/>
          <w:szCs w:val="22"/>
        </w:rPr>
        <w:t xml:space="preserve">gris</w:t>
      </w:r>
      <w:r>
        <w:rPr>
          <w:rFonts w:ascii="Inter" w:cs="Inter" w:eastAsia="Inter" w:hAnsi="Inter"/>
          <w:color w:val="4D4D4D"/>
          <w:sz w:val="22"/>
          <w:szCs w:val="22"/>
        </w:rPr>
        <w:t xml:space="preserve">. El sesgo psicológico, si lo mencionas en el informe, va como hipótesis con su fuente.</w:t>
      </w:r>
    </w:p>
    <w:p>
      <w:pPr>
        <w:spacing w:after="160" w:line="360"/>
      </w:pPr>
      <w:r>
        <w:rPr>
          <w:rFonts w:ascii="Inter" w:cs="Inter" w:eastAsia="Inter" w:hAnsi="Inter"/>
          <w:color w:val="4D4D4D"/>
          <w:sz w:val="22"/>
          <w:szCs w:val="22"/>
        </w:rPr>
        <w:t xml:space="preserve">La guía completa, con la evidencia de cada patrón: </w:t>
      </w:r>
      <w:hyperlink w:history="1" r:id="rIdioaz4_b8zpaljdpgfy3ro">
        <w:r>
          <w:rPr>
            <w:rFonts w:ascii="Inter" w:cs="Inter" w:eastAsia="Inter" w:hAnsi="Inter"/>
            <w:color w:val="AA5144"/>
            <w:sz w:val="22"/>
            <w:szCs w:val="22"/>
            <w:u w:val="single"/>
          </w:rPr>
          <w:t xml:space="preserve">https://uxr.cl/es/aprende/patrones-oscuros/</w:t>
        </w:r>
      </w:hyperlink>
    </w:p>
    <w:p>
      <w:pPr>
        <w:pStyle w:val="Heading3"/>
        <w:keepNext/>
        <w:spacing w:after="100" w:before="240"/>
      </w:pPr>
      <w:r>
        <w:rPr>
          <w:rFonts w:ascii="Raleway" w:cs="Raleway" w:eastAsia="Raleway" w:hAnsi="Raleway"/>
          <w:b/>
          <w:bCs/>
          <w:color w:val="162B39"/>
          <w:sz w:val="24"/>
          <w:szCs w:val="24"/>
        </w:rPr>
        <w:t xml:space="preserve">Resumen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79"/>
        <w:gridCol w:w="2474"/>
        <w:gridCol w:w="2021"/>
        <w:gridCol w:w="1740"/>
      </w:tblGrid>
      <w:tr>
        <w:trPr>
          <w:tblHeader/>
        </w:trPr>
        <w:tc>
          <w:tcPr>
            <w:tcW w:type="dxa" w:w="307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Patrón</w:t>
            </w:r>
          </w:p>
        </w:tc>
        <w:tc>
          <w:tcPr>
            <w:tcW w:type="dxa" w:w="247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Estrategia</w:t>
            </w:r>
          </w:p>
        </w:tc>
        <w:tc>
          <w:tcPr>
            <w:tcW w:type="dxa" w:w="202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¿Aparece? (sí / no / gris)</w:t>
            </w:r>
          </w:p>
        </w:tc>
        <w:tc>
          <w:tcPr>
            <w:tcW w:type="dxa" w:w="174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¿Probado que engaña?</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Colarse en el carrito de compra</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Ocultamiento</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Precios por goteo o costos ocultos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Ocultamiento</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Motel de cucarachas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Obstrucción</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Obstáculos en la comparación de precios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Obstrucción</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Desviar la atención o desorientar</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Preguntas capciosas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Presión de compra</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Acciones forzadas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Acción forzada</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Continuidad forzada o suscripciones ocultas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Acción forzada</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Contador de tiempo</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tiempo límite</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poco stock</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alta demanda</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Notificaciones de actividad</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Testimonios dudosos</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07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Confirmshaming</w:t>
            </w:r>
          </w:p>
        </w:tc>
        <w:tc>
          <w:tcPr>
            <w:tcW w:type="dxa" w:w="247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02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7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Ocultamiento</w:t>
      </w:r>
    </w:p>
    <w:p>
      <w:pPr>
        <w:pStyle w:val="Heading3"/>
        <w:keepNext/>
        <w:spacing w:after="100" w:before="240"/>
      </w:pPr>
      <w:r>
        <w:rPr>
          <w:rFonts w:ascii="Raleway" w:cs="Raleway" w:eastAsia="Raleway" w:hAnsi="Raleway"/>
          <w:b/>
          <w:bCs/>
          <w:color w:val="162B39"/>
          <w:sz w:val="24"/>
          <w:szCs w:val="24"/>
        </w:rPr>
        <w:t xml:space="preserve">Colarse en el carrito de compra (</w:t>
      </w:r>
      <w:r>
        <w:rPr>
          <w:rFonts w:ascii="Raleway" w:cs="Raleway" w:eastAsia="Raleway" w:hAnsi="Raleway"/>
          <w:b/>
          <w:bCs/>
          <w:i/>
          <w:iCs/>
          <w:color w:val="162B39"/>
          <w:sz w:val="24"/>
          <w:szCs w:val="24"/>
        </w:rPr>
        <w:t xml:space="preserve">sneak into basket</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 producto o servicio en el carrito que no agregaste: una tarjeta de saludo junto a unas flores, un seguro junto a un computador (Mathur et al., 2019, p. 13).</w:t>
      </w:r>
    </w:p>
    <w:p>
      <w:pPr>
        <w:pStyle w:val="ListParagraph"/>
        <w:numPr>
          <w:ilvl w:val="0"/>
          <w:numId w:val="1"/>
        </w:numPr>
        <w:spacing w:after="80" w:line="360"/>
      </w:pPr>
      <w:r>
        <w:rPr>
          <w:rFonts w:ascii="Inter" w:cs="Inter" w:eastAsia="Inter" w:hAnsi="Inter"/>
          <w:color w:val="4D4D4D"/>
          <w:sz w:val="22"/>
          <w:szCs w:val="22"/>
        </w:rPr>
        <w:t xml:space="preserve">Casillas ya marcadas en un paso anterior que agregan algo al pedido (Mathur et al., p. 13).</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Agrega un solo producto y revisa el carrito línea por línea antes de pagar. Vuelve a los pasos anteriores y busca casillas marcadas que no marcaste.</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Precios por goteo o costos ocultos (</w:t>
      </w:r>
      <w:r>
        <w:rPr>
          <w:rFonts w:ascii="Raleway" w:cs="Raleway" w:eastAsia="Raleway" w:hAnsi="Raleway"/>
          <w:b/>
          <w:bCs/>
          <w:i/>
          <w:iCs/>
          <w:color w:val="162B39"/>
          <w:sz w:val="24"/>
          <w:szCs w:val="24"/>
        </w:rPr>
        <w:t xml:space="preserve">drip pricing</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Cargos que aparecen en el último paso: «tarifa de servicio», «gastos de gestión», despacho, propina (Mathur et al., 2019, p. 13; SERNAC, 2021, p. 27).</w:t>
      </w:r>
    </w:p>
    <w:p>
      <w:pPr>
        <w:pStyle w:val="ListParagraph"/>
        <w:numPr>
          <w:ilvl w:val="0"/>
          <w:numId w:val="1"/>
        </w:numPr>
        <w:spacing w:after="80" w:line="360"/>
      </w:pPr>
      <w:r>
        <w:rPr>
          <w:rFonts w:ascii="Inter" w:cs="Inter" w:eastAsia="Inter" w:hAnsi="Inter"/>
          <w:color w:val="4D4D4D"/>
          <w:sz w:val="22"/>
          <w:szCs w:val="22"/>
        </w:rPr>
        <w:t xml:space="preserve">Un precio de paquete que cambia al confirmar, sin explicar por qué (SERNAC, p. 28).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Anota el precio que ves en la ficha del producto y compáralo con el total del último paso antes de pagar. Cada diferencia tiene que estar informada desde el principio.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Obstrucción</w:t>
      </w:r>
    </w:p>
    <w:p>
      <w:pPr>
        <w:pStyle w:val="Heading3"/>
        <w:keepNext/>
        <w:spacing w:after="100" w:before="240"/>
      </w:pPr>
      <w:r>
        <w:rPr>
          <w:rFonts w:ascii="Raleway" w:cs="Raleway" w:eastAsia="Raleway" w:hAnsi="Raleway"/>
          <w:b/>
          <w:bCs/>
          <w:color w:val="162B39"/>
          <w:sz w:val="24"/>
          <w:szCs w:val="24"/>
        </w:rPr>
        <w:t xml:space="preserve">Motel de cucarachas (</w:t>
      </w:r>
      <w:r>
        <w:rPr>
          <w:rFonts w:ascii="Raleway" w:cs="Raleway" w:eastAsia="Raleway" w:hAnsi="Raleway"/>
          <w:b/>
          <w:bCs/>
          <w:i/>
          <w:iCs/>
          <w:color w:val="162B39"/>
          <w:sz w:val="24"/>
          <w:szCs w:val="24"/>
        </w:rPr>
        <w:t xml:space="preserve">roach motel</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Te suscribes o te registras en la web, pero no hay botón para darte de baja ni para eliminar la cuenta.</w:t>
      </w:r>
    </w:p>
    <w:p>
      <w:pPr>
        <w:pStyle w:val="ListParagraph"/>
        <w:numPr>
          <w:ilvl w:val="0"/>
          <w:numId w:val="1"/>
        </w:numPr>
        <w:spacing w:after="80" w:line="360"/>
      </w:pPr>
      <w:r>
        <w:rPr>
          <w:rFonts w:ascii="Inter" w:cs="Inter" w:eastAsia="Inter" w:hAnsi="Inter"/>
          <w:color w:val="4D4D4D"/>
          <w:sz w:val="22"/>
          <w:szCs w:val="22"/>
        </w:rPr>
        <w:t xml:space="preserve">Solo se ofrece «pausar» la membresía, no cancelarla. Chen et al. lo etiquetaron como acción forzada (2026, p. 8); para quien audita, el síntoma es el mismo: no hay salida.</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Compara los dos caminos: cuántos pasos y qué canal tiene alta y cuántos tiene la baja. Si no encuentras la baja en la interfaz, búscala en los términos y condiciones: ahí suele estar el «solo por teléfono» (Mathur et al., 2019, p. 21; SERNAC, 2021, p. 30).</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Obstáculos en la comparación de precios (</w:t>
      </w:r>
      <w:r>
        <w:rPr>
          <w:rFonts w:ascii="Raleway" w:cs="Raleway" w:eastAsia="Raleway" w:hAnsi="Raleway"/>
          <w:b/>
          <w:bCs/>
          <w:i/>
          <w:iCs/>
          <w:color w:val="162B39"/>
          <w:sz w:val="24"/>
          <w:szCs w:val="24"/>
        </w:rPr>
        <w:t xml:space="preserve">price comparison prevention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Productos parecidos con características y descuentos distintos a la vez, que no se pueden poner lado a lado (SERNAC, 2021, p. 24).</w:t>
      </w:r>
    </w:p>
    <w:p>
      <w:pPr>
        <w:pStyle w:val="ListParagraph"/>
        <w:numPr>
          <w:ilvl w:val="0"/>
          <w:numId w:val="1"/>
        </w:numPr>
        <w:spacing w:after="80" w:line="360"/>
      </w:pPr>
      <w:r>
        <w:rPr>
          <w:rFonts w:ascii="Inter" w:cs="Inter" w:eastAsia="Inter" w:hAnsi="Inter"/>
          <w:color w:val="4D4D4D"/>
          <w:sz w:val="22"/>
          <w:szCs w:val="22"/>
        </w:rPr>
        <w:t xml:space="preserve">Un precio «desde» en el listado que corresponde siempre a la opción más barata, y adentro muchas variantes con precios distintos (SERNAC, p. 24).</w:t>
      </w:r>
    </w:p>
    <w:p>
      <w:pPr>
        <w:pStyle w:val="ListParagraph"/>
        <w:numPr>
          <w:ilvl w:val="0"/>
          <w:numId w:val="1"/>
        </w:numPr>
        <w:spacing w:after="80" w:line="360"/>
      </w:pPr>
      <w:r>
        <w:rPr>
          <w:rFonts w:ascii="Inter" w:cs="Inter" w:eastAsia="Inter" w:hAnsi="Inter"/>
          <w:color w:val="4D4D4D"/>
          <w:sz w:val="22"/>
          <w:szCs w:val="22"/>
        </w:rPr>
        <w:t xml:space="preserve">Texto que no se deja copiar (Gray et al.,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Intenta comparar dos opciones equivalentes. Si para hacerlo tienes que anotar a mano, entrar a cada una o calcular precios por unidad, hay una barrera. Que la barrera sea deliberada no se prueba desde afuera; anótalo como hallazgo con esa salvedad.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Interferencia de interfaz</w:t>
      </w:r>
    </w:p>
    <w:p>
      <w:pPr>
        <w:pStyle w:val="Heading3"/>
        <w:keepNext/>
        <w:spacing w:after="100" w:before="240"/>
      </w:pPr>
      <w:r>
        <w:rPr>
          <w:rFonts w:ascii="Raleway" w:cs="Raleway" w:eastAsia="Raleway" w:hAnsi="Raleway"/>
          <w:b/>
          <w:bCs/>
          <w:color w:val="162B39"/>
          <w:sz w:val="24"/>
          <w:szCs w:val="24"/>
        </w:rPr>
        <w:t xml:space="preserve">Desviar la atención o desorientar (</w:t>
      </w:r>
      <w:r>
        <w:rPr>
          <w:rFonts w:ascii="Raleway" w:cs="Raleway" w:eastAsia="Raleway" w:hAnsi="Raleway"/>
          <w:b/>
          <w:bCs/>
          <w:i/>
          <w:iCs/>
          <w:color w:val="162B39"/>
          <w:sz w:val="24"/>
          <w:szCs w:val="24"/>
        </w:rPr>
        <w:t xml:space="preserve">visual interference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El botón que conviene a la empresa, grande y de color; la alternativa, gris o como enlace de texto (SERNAC, 2021, p. 22).</w:t>
      </w:r>
    </w:p>
    <w:p>
      <w:pPr>
        <w:pStyle w:val="ListParagraph"/>
        <w:numPr>
          <w:ilvl w:val="0"/>
          <w:numId w:val="1"/>
        </w:numPr>
        <w:spacing w:after="80" w:line="360"/>
      </w:pPr>
      <w:r>
        <w:rPr>
          <w:rFonts w:ascii="Inter" w:cs="Inter" w:eastAsia="Inter" w:hAnsi="Inter"/>
          <w:color w:val="4D4D4D"/>
          <w:sz w:val="22"/>
          <w:szCs w:val="22"/>
        </w:rPr>
        <w:t xml:space="preserve">Una opción que se ve deshabilitada, pero se puede pulsar (Mathur et al., 2019, p. 17).</w:t>
      </w:r>
    </w:p>
    <w:p>
      <w:pPr>
        <w:pStyle w:val="ListParagraph"/>
        <w:numPr>
          <w:ilvl w:val="0"/>
          <w:numId w:val="1"/>
        </w:numPr>
        <w:spacing w:after="80" w:line="360"/>
      </w:pPr>
      <w:r>
        <w:rPr>
          <w:rFonts w:ascii="Inter" w:cs="Inter" w:eastAsia="Inter" w:hAnsi="Inter"/>
          <w:color w:val="4D4D4D"/>
          <w:sz w:val="22"/>
          <w:szCs w:val="22"/>
        </w:rPr>
        <w:t xml:space="preserve">Un descuento inflado sumando el valor de un «regalo» (Mathur et al.,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Compara las opciones de una misma decisión: tamaño, color, contraste y posición. Si una parece deshabilitada, haz clic en ella.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Preguntas capciosas (</w:t>
      </w:r>
      <w:r>
        <w:rPr>
          <w:rFonts w:ascii="Raleway" w:cs="Raleway" w:eastAsia="Raleway" w:hAnsi="Raleway"/>
          <w:b/>
          <w:bCs/>
          <w:i/>
          <w:iCs/>
          <w:color w:val="162B39"/>
          <w:sz w:val="24"/>
          <w:szCs w:val="24"/>
        </w:rPr>
        <w:t xml:space="preserve">trick questions</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«Desmarca la casilla si prefieres no recibir correos».</w:t>
      </w:r>
    </w:p>
    <w:p>
      <w:pPr>
        <w:pStyle w:val="ListParagraph"/>
        <w:numPr>
          <w:ilvl w:val="0"/>
          <w:numId w:val="1"/>
        </w:numPr>
        <w:spacing w:after="80" w:line="360"/>
      </w:pPr>
      <w:r>
        <w:rPr>
          <w:rFonts w:ascii="Inter" w:cs="Inter" w:eastAsia="Inter" w:hAnsi="Inter"/>
          <w:color w:val="4D4D4D"/>
          <w:sz w:val="22"/>
          <w:szCs w:val="22"/>
        </w:rPr>
        <w:t xml:space="preserve">Una casilla para NO recibir comunicaciones cuyo texto empieza afirmando lo contrario: «Queremos enviarte correos. Si no quieres…» (Mathur et al., 2019,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Lee cada casilla en voz alta y pregúntate qué pasa si la marcas y qué pasa si no. Mathur et al. solo cuentan como pregunta capciosa la casilla de rechazo que empieza con una afirmación. Las que empiezan ofreciendo el rechazo («Marca aquí para no recibir…») las registran aparte, como preocupantes pero no engañosas (nota 9, p. 17).</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Presión de compra (</w:t>
      </w:r>
      <w:r>
        <w:rPr>
          <w:rFonts w:ascii="Raleway" w:cs="Raleway" w:eastAsia="Raleway" w:hAnsi="Raleway"/>
          <w:b/>
          <w:bCs/>
          <w:i/>
          <w:iCs/>
          <w:color w:val="162B39"/>
          <w:sz w:val="24"/>
          <w:szCs w:val="24"/>
        </w:rPr>
        <w:t xml:space="preserve">pressured selling</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La opción más cara marcada por defecto: el ramo más grande, el plan superior (Mathur et al., 2019, p. 18).</w:t>
      </w:r>
    </w:p>
    <w:p>
      <w:pPr>
        <w:pStyle w:val="ListParagraph"/>
        <w:numPr>
          <w:ilvl w:val="0"/>
          <w:numId w:val="1"/>
        </w:numPr>
        <w:spacing w:after="80" w:line="360"/>
      </w:pPr>
      <w:r>
        <w:rPr>
          <w:rFonts w:ascii="Inter" w:cs="Inter" w:eastAsia="Inter" w:hAnsi="Inter"/>
          <w:color w:val="4D4D4D"/>
          <w:sz w:val="22"/>
          <w:szCs w:val="22"/>
        </w:rPr>
        <w:t xml:space="preserve">Ventanas emergentes que, al agregar algo al carrito, ofrecen «más vendidos» u «ofertas», y que hay que cerrar para seguir (Mathur et al., p. 18).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Revisa qué variante viene seleccionada al entrar a la ficha. Si es la más cara, anótalo. Revisa también si alguna ventana emergente interrumpe el paso al carrito.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Acción forzada</w:t>
      </w:r>
    </w:p>
    <w:p>
      <w:pPr>
        <w:pStyle w:val="Heading3"/>
        <w:keepNext/>
        <w:spacing w:after="100" w:before="240"/>
      </w:pPr>
      <w:r>
        <w:rPr>
          <w:rFonts w:ascii="Raleway" w:cs="Raleway" w:eastAsia="Raleway" w:hAnsi="Raleway"/>
          <w:b/>
          <w:bCs/>
          <w:color w:val="162B39"/>
          <w:sz w:val="24"/>
          <w:szCs w:val="24"/>
        </w:rPr>
        <w:t xml:space="preserve">Acciones forzadas (</w:t>
      </w:r>
      <w:r>
        <w:rPr>
          <w:rFonts w:ascii="Raleway" w:cs="Raleway" w:eastAsia="Raleway" w:hAnsi="Raleway"/>
          <w:b/>
          <w:bCs/>
          <w:i/>
          <w:iCs/>
          <w:color w:val="162B39"/>
          <w:sz w:val="24"/>
          <w:szCs w:val="24"/>
        </w:rPr>
        <w:t xml:space="preserve">forced registration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«Debes registrarte para continuar tu compra», sin opción de comprar como invitado (SERNAC, 2021, p. 17).</w:t>
      </w:r>
    </w:p>
    <w:p>
      <w:pPr>
        <w:pStyle w:val="ListParagraph"/>
        <w:numPr>
          <w:ilvl w:val="0"/>
          <w:numId w:val="1"/>
        </w:numPr>
        <w:spacing w:after="80" w:line="360"/>
      </w:pPr>
      <w:r>
        <w:rPr>
          <w:rFonts w:ascii="Inter" w:cs="Inter" w:eastAsia="Inter" w:hAnsi="Inter"/>
          <w:color w:val="4D4D4D"/>
          <w:sz w:val="22"/>
          <w:szCs w:val="22"/>
        </w:rPr>
        <w:t xml:space="preserve">Una ventana de registro que aparece al agregar al carrito o tras un rato navegando, y que no tiene botón de cerrar (Chen et al., 2026, p. 8).</w:t>
      </w:r>
    </w:p>
    <w:p>
      <w:pPr>
        <w:pStyle w:val="ListParagraph"/>
        <w:numPr>
          <w:ilvl w:val="0"/>
          <w:numId w:val="1"/>
        </w:numPr>
        <w:spacing w:after="80" w:line="360"/>
      </w:pPr>
      <w:r>
        <w:rPr>
          <w:rFonts w:ascii="Inter" w:cs="Inter" w:eastAsia="Inter" w:hAnsi="Inter"/>
          <w:color w:val="4D4D4D"/>
          <w:sz w:val="22"/>
          <w:szCs w:val="22"/>
        </w:rPr>
        <w:t xml:space="preserve">Una sola casilla que junta aceptar los términos y aceptar recibir publicidad (Mathur et al., 2019, p. 22).</w:t>
      </w:r>
    </w:p>
    <w:p>
      <w:pPr>
        <w:pStyle w:val="ListParagraph"/>
        <w:numPr>
          <w:ilvl w:val="0"/>
          <w:numId w:val="1"/>
        </w:numPr>
        <w:spacing w:after="80" w:line="360"/>
      </w:pPr>
      <w:r>
        <w:rPr>
          <w:rFonts w:ascii="Inter" w:cs="Inter" w:eastAsia="Inter" w:hAnsi="Inter"/>
          <w:color w:val="4D4D4D"/>
          <w:sz w:val="22"/>
          <w:szCs w:val="22"/>
        </w:rPr>
        <w:t xml:space="preserve">Datos personales pedidos antes de tiempo, por ejemplo el RUT para simular un crédito (SERNAC, p. 18).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Intenta completar la tarea sin cuenta. Si aparece una ventana, busca cómo cerrarla sin registrarte. Pregúntate qué dato necesita realmente cada paso.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Continuidad forzada o suscripciones ocultas (</w:t>
      </w:r>
      <w:r>
        <w:rPr>
          <w:rFonts w:ascii="Raleway" w:cs="Raleway" w:eastAsia="Raleway" w:hAnsi="Raleway"/>
          <w:b/>
          <w:bCs/>
          <w:i/>
          <w:iCs/>
          <w:color w:val="162B39"/>
          <w:sz w:val="24"/>
          <w:szCs w:val="24"/>
        </w:rPr>
        <w:t xml:space="preserve">forced continuity</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Una «prueba gratis» que pide tarjeta de crédito y rechaza las de prepago o débito (SERNAC, 2021, p. 29).</w:t>
      </w:r>
    </w:p>
    <w:p>
      <w:pPr>
        <w:pStyle w:val="ListParagraph"/>
        <w:numPr>
          <w:ilvl w:val="0"/>
          <w:numId w:val="1"/>
        </w:numPr>
        <w:spacing w:after="80" w:line="360"/>
      </w:pPr>
      <w:r>
        <w:rPr>
          <w:rFonts w:ascii="Inter" w:cs="Inter" w:eastAsia="Inter" w:hAnsi="Inter"/>
          <w:color w:val="4D4D4D"/>
          <w:sz w:val="22"/>
          <w:szCs w:val="22"/>
        </w:rPr>
        <w:t xml:space="preserve">Un servicio que parece de pago único y se renueva cada año; el dato está detrás de un «más información» (Mathur et al., 2019, p. 14).</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Busca, antes de pagar, tres datos: si se renueva, cuánto cobrará y cuándo. Si alguno no está a la vista, anótalo. Pedir tarjeta no basta para llamarlo patrón oscuro; el SERNAC lo trata como señal (p. 29), pero la prueba es que la renovación no esté informada.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Ingeniería social</w:t>
      </w:r>
    </w:p>
    <w:p>
      <w:pPr>
        <w:pStyle w:val="Heading3"/>
        <w:keepNext/>
        <w:spacing w:after="100" w:before="240"/>
      </w:pPr>
      <w:r>
        <w:rPr>
          <w:rFonts w:ascii="Raleway" w:cs="Raleway" w:eastAsia="Raleway" w:hAnsi="Raleway"/>
          <w:b/>
          <w:bCs/>
          <w:color w:val="162B39"/>
          <w:sz w:val="24"/>
          <w:szCs w:val="24"/>
        </w:rPr>
        <w:t xml:space="preserve">Contador de tiempo (</w:t>
      </w:r>
      <w:r>
        <w:rPr>
          <w:rFonts w:ascii="Raleway" w:cs="Raleway" w:eastAsia="Raleway" w:hAnsi="Raleway"/>
          <w:b/>
          <w:bCs/>
          <w:i/>
          <w:iCs/>
          <w:color w:val="162B39"/>
          <w:sz w:val="24"/>
          <w:szCs w:val="24"/>
        </w:rPr>
        <w:t xml:space="preserve">countdown timer</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 reloj en horas, minutos y segundos junto al precio o en un banner, con rótulos como «Oferta al límite» u «Oferta imperdible» (SERNAC, 2021, pp. 19–20).</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Anota la hora en que el reloj llega a cero y vuelve después, y otra vez al día siguiente. Es engañoso si </w:t>
      </w:r>
      <w:r>
        <w:rPr>
          <w:rFonts w:ascii="Inter" w:cs="Inter" w:eastAsia="Inter" w:hAnsi="Inter"/>
          <w:b/>
          <w:bCs/>
          <w:color w:val="162B39"/>
          <w:sz w:val="22"/>
          <w:szCs w:val="22"/>
        </w:rPr>
        <w:t xml:space="preserve">se reinicia con la misma oferta</w:t>
      </w:r>
      <w:r>
        <w:rPr>
          <w:rFonts w:ascii="Inter" w:cs="Inter" w:eastAsia="Inter" w:hAnsi="Inter"/>
          <w:color w:val="4D4D4D"/>
          <w:sz w:val="22"/>
          <w:szCs w:val="22"/>
        </w:rPr>
        <w:t xml:space="preserve"> o si </w:t>
      </w:r>
      <w:r>
        <w:rPr>
          <w:rFonts w:ascii="Inter" w:cs="Inter" w:eastAsia="Inter" w:hAnsi="Inter"/>
          <w:b/>
          <w:bCs/>
          <w:color w:val="162B39"/>
          <w:sz w:val="22"/>
          <w:szCs w:val="22"/>
        </w:rPr>
        <w:t xml:space="preserve">la oferta sigue vigente</w:t>
      </w:r>
      <w:r>
        <w:rPr>
          <w:rFonts w:ascii="Inter" w:cs="Inter" w:eastAsia="Inter" w:hAnsi="Inter"/>
          <w:color w:val="4D4D4D"/>
          <w:sz w:val="22"/>
          <w:szCs w:val="22"/>
        </w:rPr>
        <w:t xml:space="preserve"> después de vencer (Mathur et al., 2019, p. 15).</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tiempo límite (</w:t>
      </w:r>
      <w:r>
        <w:rPr>
          <w:rFonts w:ascii="Raleway" w:cs="Raleway" w:eastAsia="Raleway" w:hAnsi="Raleway"/>
          <w:b/>
          <w:bCs/>
          <w:i/>
          <w:iCs/>
          <w:color w:val="162B39"/>
          <w:sz w:val="24"/>
          <w:szCs w:val="24"/>
        </w:rPr>
        <w:t xml:space="preserve">limited-time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«La oferta termina pronto», sin fecha ni hora (Mathur et al., 2019, pp. 15–16).</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Busca la fecha de término en la letra chica, en las condiciones de la promoción y en la página de términos. Mathur et al. solo lo contaron cuando no estaba en ninguna de esas partes (pp. 15–16).</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«Por tiempo limitado», «Sólo por hoy».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poco stock (</w:t>
      </w:r>
      <w:r>
        <w:rPr>
          <w:rFonts w:ascii="Raleway" w:cs="Raleway" w:eastAsia="Raleway" w:hAnsi="Raleway"/>
          <w:b/>
          <w:bCs/>
          <w:i/>
          <w:iCs/>
          <w:color w:val="162B39"/>
          <w:sz w:val="24"/>
          <w:szCs w:val="24"/>
        </w:rPr>
        <w:t xml:space="preserve">low-stock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«Últimas unidades», el mensaje que el SERNAC vio con más frecuencia (p. 19).</w:t>
      </w:r>
    </w:p>
    <w:p>
      <w:pPr>
        <w:pStyle w:val="ListParagraph"/>
        <w:numPr>
          <w:ilvl w:val="0"/>
          <w:numId w:val="1"/>
        </w:numPr>
        <w:spacing w:after="80" w:line="360"/>
      </w:pPr>
      <w:r>
        <w:rPr>
          <w:rFonts w:ascii="Inter" w:cs="Inter" w:eastAsia="Inter" w:hAnsi="Inter"/>
          <w:color w:val="4D4D4D"/>
          <w:sz w:val="22"/>
          <w:szCs w:val="22"/>
        </w:rPr>
        <w:t xml:space="preserve">«Quedan solo 2 a este precio» (SERNAC, p. 20).</w:t>
      </w:r>
    </w:p>
    <w:p>
      <w:pPr>
        <w:pStyle w:val="ListParagraph"/>
        <w:numPr>
          <w:ilvl w:val="0"/>
          <w:numId w:val="1"/>
        </w:numPr>
        <w:spacing w:after="80" w:line="360"/>
      </w:pPr>
      <w:r>
        <w:rPr>
          <w:rFonts w:ascii="Inter" w:cs="Inter" w:eastAsia="Inter" w:hAnsi="Inter"/>
          <w:color w:val="4D4D4D"/>
          <w:sz w:val="22"/>
          <w:szCs w:val="22"/>
        </w:rPr>
        <w:t xml:space="preserve">«Pocas unidades» sin número (Mathur et al., 2019, p. 20).</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Vuelve varias veces durante unos días y anota la cifra. Es sospechoso si baja según un horario fijo, si cambia al recargar la página, o si el mensaje aparece en casi todos los productos (Mathur et al., p. 20).</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«Últimas unidades», «Stock limitado», «Quedan [número] unidades», «Solo quedan [número]», «Hasta agotar stock», «Edición limitada».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alta demanda (</w:t>
      </w:r>
      <w:r>
        <w:rPr>
          <w:rFonts w:ascii="Raleway" w:cs="Raleway" w:eastAsia="Raleway" w:hAnsi="Raleway"/>
          <w:b/>
          <w:bCs/>
          <w:i/>
          <w:iCs/>
          <w:color w:val="162B39"/>
          <w:sz w:val="24"/>
          <w:szCs w:val="24"/>
        </w:rPr>
        <w:t xml:space="preserve">high-demand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«Los productos de tu carrito tienen mucha demanda» (Mathur et al., 2019, p. 20).</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Revisa si el mensaje cambia según el producto. Mathur et al. encontraron que 38 de 47 aparecían igual, fuera cual fuera el producto o lo que hubiera en el carrito (p. 21).</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«Alta demanda».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Notificaciones de actividad (</w:t>
      </w:r>
      <w:r>
        <w:rPr>
          <w:rFonts w:ascii="Raleway" w:cs="Raleway" w:eastAsia="Raleway" w:hAnsi="Raleway"/>
          <w:b/>
          <w:bCs/>
          <w:i/>
          <w:iCs/>
          <w:color w:val="162B39"/>
          <w:sz w:val="24"/>
          <w:szCs w:val="24"/>
        </w:rPr>
        <w:t xml:space="preserve">activity messages</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Avisos emergentes del tipo «Alguien de [comuna] comenzó a comprar [producto] hace 3 minutos» (SERNAC, 2021, p. 23).</w:t>
      </w:r>
    </w:p>
    <w:p>
      <w:pPr>
        <w:pStyle w:val="ListParagraph"/>
        <w:numPr>
          <w:ilvl w:val="0"/>
          <w:numId w:val="1"/>
        </w:numPr>
        <w:spacing w:after="80" w:line="360"/>
      </w:pPr>
      <w:r>
        <w:rPr>
          <w:rFonts w:ascii="Inter" w:cs="Inter" w:eastAsia="Inter" w:hAnsi="Inter"/>
          <w:color w:val="4D4D4D"/>
          <w:sz w:val="22"/>
          <w:szCs w:val="22"/>
        </w:rPr>
        <w:t xml:space="preserve">«¡Apúrate! 2 personas están a punto de comprar este producto», repetido en muchos productos (SERNAC, p. 23).</w:t>
      </w:r>
    </w:p>
    <w:p>
      <w:pPr>
        <w:pStyle w:val="ListParagraph"/>
        <w:numPr>
          <w:ilvl w:val="0"/>
          <w:numId w:val="1"/>
        </w:numPr>
        <w:spacing w:after="80" w:line="360"/>
      </w:pPr>
      <w:r>
        <w:rPr>
          <w:rFonts w:ascii="Inter" w:cs="Inter" w:eastAsia="Inter" w:hAnsi="Inter"/>
          <w:color w:val="4D4D4D"/>
          <w:sz w:val="22"/>
          <w:szCs w:val="22"/>
        </w:rPr>
        <w:t xml:space="preserve">«35 personas agregaron esto al carrito», «90 personas vieron este producto» (Mathur et al., 2019, p. 18).</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Mira el código fuente: Mathur et al. encontraron cifras generadas al azar y avisos escritos en el código que nunca cambiaban (pp. 18–19). Revisa también qué script dibuja el aviso: muchos vienen de proveedores externos, y algunos anunciaban abiertamente pedidos falsos (pp. 22–24).</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«Viendo», «Viendo esto», «[número] vendidos», «Compró», «Alguien en», «Interesado».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Testimonios dudosos (</w:t>
      </w:r>
      <w:r>
        <w:rPr>
          <w:rFonts w:ascii="Raleway" w:cs="Raleway" w:eastAsia="Raleway" w:hAnsi="Raleway"/>
          <w:b/>
          <w:bCs/>
          <w:i/>
          <w:iCs/>
          <w:color w:val="162B39"/>
          <w:sz w:val="24"/>
          <w:szCs w:val="24"/>
        </w:rPr>
        <w:t xml:space="preserve">testimonials of uncertain origin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Solo testimonios positivos, o solo notas máximas, sin saber a cuántos clientes representan (SERNAC, 2021, p. 21).</w:t>
      </w:r>
    </w:p>
    <w:p>
      <w:pPr>
        <w:pStyle w:val="ListParagraph"/>
        <w:numPr>
          <w:ilvl w:val="0"/>
          <w:numId w:val="1"/>
        </w:numPr>
        <w:spacing w:after="80" w:line="360"/>
      </w:pPr>
      <w:r>
        <w:rPr>
          <w:rFonts w:ascii="Inter" w:cs="Inter" w:eastAsia="Inter" w:hAnsi="Inter"/>
          <w:color w:val="4D4D4D"/>
          <w:sz w:val="22"/>
          <w:szCs w:val="22"/>
        </w:rPr>
        <w:t xml:space="preserve">Valoraciones altas sin el número de reseñas (Chen et al., 2026, p. 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Dos pruebas de Mathur et al. (p. 19): ver si el sitio tiene un formulario para enviar testimonios, y buscar en Google el texto exacto de uno. Encontraron los mismos testimonios en otro sitio, con otros nombres.</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«Nuestros clientes dicen», «Excelente servicio», «Excelente producto», «Excelente calidad», «Muy buena calidad», «Es perfecto», «Fabuloso».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Confirmshaming (</w:t>
      </w:r>
      <w:r>
        <w:rPr>
          <w:rFonts w:ascii="Raleway" w:cs="Raleway" w:eastAsia="Raleway" w:hAnsi="Raleway"/>
          <w:b/>
          <w:bCs/>
          <w:i/>
          <w:iCs/>
          <w:color w:val="162B39"/>
          <w:sz w:val="24"/>
          <w:szCs w:val="24"/>
        </w:rPr>
        <w:t xml:space="preserve">avergonzar por rechazar</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«No, gracias, prefiero pagar precio completo», casi siempre en ventanas que ofrecen un descuento a cambio del correo (Mathur et al., 2019, p. 16).</w:t>
      </w:r>
    </w:p>
    <w:p>
      <w:pPr>
        <w:pStyle w:val="ListParagraph"/>
        <w:numPr>
          <w:ilvl w:val="0"/>
          <w:numId w:val="1"/>
        </w:numPr>
        <w:spacing w:after="80" w:line="360"/>
      </w:pPr>
      <w:r>
        <w:rPr>
          <w:rFonts w:ascii="Inter" w:cs="Inter" w:eastAsia="Inter" w:hAnsi="Inter"/>
          <w:color w:val="4D4D4D"/>
          <w:sz w:val="22"/>
          <w:szCs w:val="22"/>
        </w:rPr>
        <w:t xml:space="preserve">Al quitar un seguro opcional: «¡No quedes sin protección!», con «Mantener mis seguros» destacado (SERNAC, 2021, p. 22). El SERNAC lo clasificó como «Desviar la atención»; tiene forma de confirmshaming y suele venir junto a una jerarquía visual falsa.</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Lee el texto de la opción de rechazo sin mirar la otra. Si describe a la persona («prefiero pagar de más») en vez de la acción («no, gracias»), es confirmshaming. Este no necesita prueba de engaño: se ve.</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43"/>
        <w:gridCol w:w="5471"/>
      </w:tblGrid>
      <w:tr>
        <w:trPr>
          <w:tblHeader/>
        </w:trPr>
        <w:tc>
          <w:tcPr>
            <w:tcW w:type="dxa" w:w="38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54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que encontraste</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 no / gris]</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[URL o pantalla]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[captura, código fuente, fecha]</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[cómo y cuándo]</w:t>
            </w:r>
          </w:p>
        </w:tc>
      </w:tr>
      <w:tr>
        <w:trPr>
          <w:tblHeader w:val="false"/>
        </w:trPr>
        <w:tc>
          <w:tcPr>
            <w:tcW w:type="dxa" w:w="38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54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r>
    </w:tbl>
    <w:p>
      <w:pPr>
        <w:spacing w:after="160"/>
      </w:pPr>
    </w:p>
    <w:p>
      <w:pPr>
        <w:pStyle w:val="Heading3"/>
        <w:keepNext/>
        <w:spacing w:after="100" w:before="240"/>
      </w:pPr>
      <w:r>
        <w:rPr>
          <w:rFonts w:ascii="Raleway" w:cs="Raleway" w:eastAsia="Raleway" w:hAnsi="Raleway"/>
          <w:b/>
          <w:bCs/>
          <w:color w:val="162B39"/>
          <w:sz w:val="24"/>
          <w:szCs w:val="24"/>
        </w:rPr>
        <w:t xml:space="preserve">Fuentes</w:t>
      </w:r>
    </w:p>
    <w:p>
      <w:pPr>
        <w:pStyle w:val="ListParagraph"/>
        <w:numPr>
          <w:ilvl w:val="0"/>
          <w:numId w:val="1"/>
        </w:numPr>
        <w:spacing w:after="80" w:line="360"/>
      </w:pPr>
      <w:r>
        <w:rPr>
          <w:rFonts w:ascii="Inter" w:cs="Inter" w:eastAsia="Inter" w:hAnsi="Inter"/>
          <w:color w:val="4D4D4D"/>
          <w:sz w:val="22"/>
          <w:szCs w:val="22"/>
        </w:rPr>
        <w:t xml:space="preserve">Gray, C. M., Santos, C. T., Bielova, N., y Mildner, T. (2024). An Ontology of Dark Patterns Knowledge: Foundations, Definitions, and a Pathway for Shared Knowledge-Building. En </w:t>
      </w:r>
      <w:r>
        <w:rPr>
          <w:rFonts w:ascii="Inter" w:cs="Inter" w:eastAsia="Inter" w:hAnsi="Inter"/>
          <w:i/>
          <w:iCs/>
          <w:color w:val="4D4D4D"/>
          <w:sz w:val="22"/>
          <w:szCs w:val="22"/>
        </w:rPr>
        <w:t xml:space="preserve">Proceedings of the CHI Conference on Human Factors in Computing Systems (CHI '24)</w:t>
      </w:r>
      <w:r>
        <w:rPr>
          <w:rFonts w:ascii="Inter" w:cs="Inter" w:eastAsia="Inter" w:hAnsi="Inter"/>
          <w:color w:val="4D4D4D"/>
          <w:sz w:val="22"/>
          <w:szCs w:val="22"/>
        </w:rPr>
        <w:t xml:space="preserve">. ACM. </w:t>
      </w:r>
      <w:hyperlink w:history="1" r:id="rIdnp_sa42tks-7451poj8es">
        <w:r>
          <w:rPr>
            <w:rFonts w:ascii="Inter" w:cs="Inter" w:eastAsia="Inter" w:hAnsi="Inter"/>
            <w:color w:val="AA5144"/>
            <w:sz w:val="22"/>
            <w:szCs w:val="22"/>
            <w:u w:val="single"/>
          </w:rPr>
          <w:t xml:space="preserve">https://doi.org/10.1145/3613904.3642436</w:t>
        </w:r>
      </w:hyperlink>
    </w:p>
    <w:p>
      <w:pPr>
        <w:pStyle w:val="ListParagraph"/>
        <w:numPr>
          <w:ilvl w:val="0"/>
          <w:numId w:val="1"/>
        </w:numPr>
        <w:spacing w:after="80" w:line="360"/>
      </w:pPr>
      <w:r>
        <w:rPr>
          <w:rFonts w:ascii="Inter" w:cs="Inter" w:eastAsia="Inter" w:hAnsi="Inter"/>
          <w:color w:val="4D4D4D"/>
          <w:sz w:val="22"/>
          <w:szCs w:val="22"/>
        </w:rPr>
        <w:t xml:space="preserve">Mathur, A., Acar, G., Friedman, M. J., Lucherini, E., Mayer, J., Chetty, M., y Narayanan, A. (2019). Dark Patterns at Scale: Findings from a Crawl of 11K Shopping Websites. </w:t>
      </w:r>
      <w:r>
        <w:rPr>
          <w:rFonts w:ascii="Inter" w:cs="Inter" w:eastAsia="Inter" w:hAnsi="Inter"/>
          <w:i/>
          <w:iCs/>
          <w:color w:val="4D4D4D"/>
          <w:sz w:val="22"/>
          <w:szCs w:val="22"/>
        </w:rPr>
        <w:t xml:space="preserve">Proceedings of the ACM on Human-Computer Interaction, 3</w:t>
      </w:r>
      <w:r>
        <w:rPr>
          <w:rFonts w:ascii="Inter" w:cs="Inter" w:eastAsia="Inter" w:hAnsi="Inter"/>
          <w:color w:val="4D4D4D"/>
          <w:sz w:val="22"/>
          <w:szCs w:val="22"/>
        </w:rPr>
        <w:t xml:space="preserve">(CSCW), artículo 81. </w:t>
      </w:r>
      <w:hyperlink w:history="1" r:id="rId37rfxtkjnbqvlriml16ed">
        <w:r>
          <w:rPr>
            <w:rFonts w:ascii="Inter" w:cs="Inter" w:eastAsia="Inter" w:hAnsi="Inter"/>
            <w:color w:val="AA5144"/>
            <w:sz w:val="22"/>
            <w:szCs w:val="22"/>
            <w:u w:val="single"/>
          </w:rPr>
          <w:t xml:space="preserve">https://doi.org/10.1145/3359183</w:t>
        </w:r>
      </w:hyperlink>
    </w:p>
    <w:p>
      <w:pPr>
        <w:pStyle w:val="ListParagraph"/>
        <w:numPr>
          <w:ilvl w:val="0"/>
          <w:numId w:val="1"/>
        </w:numPr>
        <w:spacing w:after="80" w:line="360"/>
      </w:pPr>
      <w:r>
        <w:rPr>
          <w:rFonts w:ascii="Inter" w:cs="Inter" w:eastAsia="Inter" w:hAnsi="Inter"/>
          <w:color w:val="4D4D4D"/>
          <w:sz w:val="22"/>
          <w:szCs w:val="22"/>
        </w:rPr>
        <w:t xml:space="preserve">Chen, Z., Shen, J., Luna, Zhang, H., y Vaccaro, K. (2026). Deception at Scale: Deceptive Designs in 1K LLM-Generated Ecommerce Components. En </w:t>
      </w:r>
      <w:r>
        <w:rPr>
          <w:rFonts w:ascii="Inter" w:cs="Inter" w:eastAsia="Inter" w:hAnsi="Inter"/>
          <w:i/>
          <w:iCs/>
          <w:color w:val="4D4D4D"/>
          <w:sz w:val="22"/>
          <w:szCs w:val="22"/>
        </w:rPr>
        <w:t xml:space="preserve">Proceedings of the CHI Conference on Human Factors in Computing Systems (CHI '26)</w:t>
      </w:r>
      <w:r>
        <w:rPr>
          <w:rFonts w:ascii="Inter" w:cs="Inter" w:eastAsia="Inter" w:hAnsi="Inter"/>
          <w:color w:val="4D4D4D"/>
          <w:sz w:val="22"/>
          <w:szCs w:val="22"/>
        </w:rPr>
        <w:t xml:space="preserve">. ACM. </w:t>
      </w:r>
      <w:hyperlink w:history="1" r:id="rIdket_dsko4zdjsrurshrxp">
        <w:r>
          <w:rPr>
            <w:rFonts w:ascii="Inter" w:cs="Inter" w:eastAsia="Inter" w:hAnsi="Inter"/>
            <w:color w:val="AA5144"/>
            <w:sz w:val="22"/>
            <w:szCs w:val="22"/>
            <w:u w:val="single"/>
          </w:rPr>
          <w:t xml:space="preserve">https://doi.org/10.1145/3772318.3791063</w:t>
        </w:r>
      </w:hyperlink>
    </w:p>
    <w:p>
      <w:pPr>
        <w:pStyle w:val="ListParagraph"/>
        <w:numPr>
          <w:ilvl w:val="0"/>
          <w:numId w:val="1"/>
        </w:numPr>
        <w:spacing w:after="80" w:line="360"/>
      </w:pPr>
      <w:r>
        <w:rPr>
          <w:rFonts w:ascii="Inter" w:cs="Inter" w:eastAsia="Inter" w:hAnsi="Inter"/>
          <w:color w:val="4D4D4D"/>
          <w:sz w:val="22"/>
          <w:szCs w:val="22"/>
        </w:rPr>
        <w:t xml:space="preserve">SERNAC (2021). </w:t>
      </w:r>
      <w:r>
        <w:rPr>
          <w:rFonts w:ascii="Inter" w:cs="Inter" w:eastAsia="Inter" w:hAnsi="Inter"/>
          <w:i/>
          <w:iCs/>
          <w:color w:val="4D4D4D"/>
          <w:sz w:val="22"/>
          <w:szCs w:val="22"/>
        </w:rPr>
        <w:t xml:space="preserve">Informe de Resultados de Levantamiento de Dark Patterns en Comercio Electrónico</w:t>
      </w:r>
      <w:r>
        <w:rPr>
          <w:rFonts w:ascii="Inter" w:cs="Inter" w:eastAsia="Inter" w:hAnsi="Inter"/>
          <w:color w:val="4D4D4D"/>
          <w:sz w:val="22"/>
          <w:szCs w:val="22"/>
        </w:rPr>
        <w:t xml:space="preserve"> (versión 1.2). Servicio Nacional del Consumidor, Chile. </w:t>
      </w:r>
      <w:hyperlink w:history="1" r:id="rIdm46exleryby645lv1cdw-">
        <w:r>
          <w:rPr>
            <w:rFonts w:ascii="Inter" w:cs="Inter" w:eastAsia="Inter" w:hAnsi="Inter"/>
            <w:color w:val="AA5144"/>
            <w:sz w:val="22"/>
            <w:szCs w:val="22"/>
            <w:u w:val="single"/>
          </w:rPr>
          <w:t xml:space="preserve">https://www.sernac.cl/portal/619/articles-62983_archivo_01.pdf</w:t>
        </w:r>
      </w:hyperlink>
    </w:p>
    <w:p>
      <w:pPr>
        <w:pStyle w:val="ListParagraph"/>
        <w:numPr>
          <w:ilvl w:val="0"/>
          <w:numId w:val="1"/>
        </w:numPr>
        <w:spacing w:after="80" w:line="360"/>
      </w:pPr>
      <w:r>
        <w:rPr>
          <w:rFonts w:ascii="Inter" w:cs="Inter" w:eastAsia="Inter" w:hAnsi="Inter"/>
          <w:color w:val="4D4D4D"/>
          <w:sz w:val="22"/>
          <w:szCs w:val="22"/>
        </w:rPr>
        <w:t xml:space="preserve">SERNAC (2022). </w:t>
      </w:r>
      <w:r>
        <w:rPr>
          <w:rFonts w:ascii="Inter" w:cs="Inter" w:eastAsia="Inter" w:hAnsi="Inter"/>
          <w:i/>
          <w:iCs/>
          <w:color w:val="4D4D4D"/>
          <w:sz w:val="22"/>
          <w:szCs w:val="22"/>
        </w:rPr>
        <w:t xml:space="preserve">Informe: Detección de Dark Patterns por Webscraping</w:t>
      </w:r>
      <w:r>
        <w:rPr>
          <w:rFonts w:ascii="Inter" w:cs="Inter" w:eastAsia="Inter" w:hAnsi="Inter"/>
          <w:color w:val="4D4D4D"/>
          <w:sz w:val="22"/>
          <w:szCs w:val="22"/>
        </w:rPr>
        <w:t xml:space="preserve"> (versión 0.7, marcada «No Vigente»). Servicio Nacional del Consumidor, Chile. </w:t>
      </w:r>
      <w:hyperlink w:history="1" r:id="rIdkouk0zsvuax8wewdorze4">
        <w:r>
          <w:rPr>
            <w:rFonts w:ascii="Inter" w:cs="Inter" w:eastAsia="Inter" w:hAnsi="Inter"/>
            <w:color w:val="AA5144"/>
            <w:sz w:val="22"/>
            <w:szCs w:val="22"/>
            <w:u w:val="single"/>
          </w:rPr>
          <w:t xml:space="preserve">https://www.sernac.cl/portal/619/articles-81901_archivo_01.pdf</w:t>
        </w:r>
      </w:hyperlink>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1.0</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ocjg6iq4poyaohfb18jwf">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v_jcrfwziwsp-hvlzgdfo">
        <w:r>
          <w:rPr>
            <w:rFonts w:ascii="Inter" w:cs="Inter" w:eastAsia="Inter" w:hAnsi="Inter"/>
            <w:color w:val="AA5144"/>
            <w:sz w:val="22"/>
            <w:szCs w:val="22"/>
            <w:u w:val="single"/>
          </w:rPr>
          <w:t xml:space="preserve">https://uxr.cl/es/plantillas/hoja-auditoria-patrones-oscuros/</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oaz4_b8zpaljdpgfy3ro" Type="http://schemas.openxmlformats.org/officeDocument/2006/relationships/hyperlink" Target="https://uxr.cl/es/aprende/patrones-oscuros/" TargetMode="External"/><Relationship Id="rIdnp_sa42tks-7451poj8es" Type="http://schemas.openxmlformats.org/officeDocument/2006/relationships/hyperlink" Target="https://doi.org/10.1145/3613904.3642436" TargetMode="External"/><Relationship Id="rId37rfxtkjnbqvlriml16ed" Type="http://schemas.openxmlformats.org/officeDocument/2006/relationships/hyperlink" Target="https://doi.org/10.1145/3359183" TargetMode="External"/><Relationship Id="rIdket_dsko4zdjsrurshrxp" Type="http://schemas.openxmlformats.org/officeDocument/2006/relationships/hyperlink" Target="https://doi.org/10.1145/3772318.3791063" TargetMode="External"/><Relationship Id="rIdm46exleryby645lv1cdw-" Type="http://schemas.openxmlformats.org/officeDocument/2006/relationships/hyperlink" Target="https://www.sernac.cl/portal/619/articles-62983_archivo_01.pdf" TargetMode="External"/><Relationship Id="rIdkouk0zsvuax8wewdorze4" Type="http://schemas.openxmlformats.org/officeDocument/2006/relationships/hyperlink" Target="https://www.sernac.cl/portal/619/articles-81901_archivo_01.pdf" TargetMode="External"/><Relationship Id="rIdocjg6iq4poyaohfb18jwf" Type="http://schemas.openxmlformats.org/officeDocument/2006/relationships/hyperlink" Target="https://creativecommons.org/licenses/by/4.0/deed.es" TargetMode="External"/><Relationship Id="rIdv_jcrfwziwsp-hvlzgdfo" Type="http://schemas.openxmlformats.org/officeDocument/2006/relationships/hyperlink" Target="https://uxr.cl/es/plantillas/hoja-auditoria-patrones-oscuro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2026-09-30T20:18:18.867Z</dcterms:created>
  <dcterms:modified xsi:type="dcterms:W3CDTF">2026-09-30T20:18:18.868Z</dcterms:modified>
</cp:coreProperties>
</file>

<file path=docProps/custom.xml><?xml version="1.0" encoding="utf-8"?>
<Properties xmlns="http://schemas.openxmlformats.org/officeDocument/2006/custom-properties" xmlns:vt="http://schemas.openxmlformats.org/officeDocument/2006/docPropsVTypes"/>
</file>